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25" w:rsidRPr="008C1AD7" w:rsidRDefault="00F16028" w:rsidP="0055653C">
      <w:pPr>
        <w:pStyle w:val="VSUTitle"/>
        <w:spacing w:after="23"/>
        <w:ind w:left="0" w:firstLine="652"/>
        <w:jc w:val="center"/>
        <w:rPr>
          <w:rFonts w:cs="Times New Roman"/>
          <w:sz w:val="28"/>
          <w:szCs w:val="28"/>
          <w:lang w:val="bg-BG"/>
        </w:rPr>
      </w:pPr>
      <w:r w:rsidRPr="008C1AD7">
        <w:rPr>
          <w:rFonts w:cs="Times New Roman"/>
          <w:sz w:val="28"/>
          <w:szCs w:val="28"/>
          <w:lang w:val="bg-BG"/>
        </w:rPr>
        <w:t xml:space="preserve">Заглавие на </w:t>
      </w:r>
      <w:r w:rsidR="00790DB6" w:rsidRPr="008C1AD7">
        <w:rPr>
          <w:rFonts w:cs="Times New Roman"/>
          <w:sz w:val="28"/>
          <w:szCs w:val="28"/>
          <w:lang w:val="bg-BG"/>
        </w:rPr>
        <w:t>ДОКЛАДА</w:t>
      </w:r>
      <w:r w:rsidR="001D2A25" w:rsidRPr="008C1AD7">
        <w:rPr>
          <w:rFonts w:cs="Times New Roman"/>
          <w:sz w:val="28"/>
          <w:szCs w:val="28"/>
          <w:lang w:val="bg-BG"/>
        </w:rPr>
        <w:br/>
        <w:t>(главни букви, times new roman</w:t>
      </w:r>
      <w:r w:rsidR="00E51E0E" w:rsidRPr="008C1AD7">
        <w:rPr>
          <w:rFonts w:cs="Times New Roman"/>
          <w:sz w:val="28"/>
          <w:szCs w:val="28"/>
          <w:lang w:val="bg-BG"/>
        </w:rPr>
        <w:t>,</w:t>
      </w:r>
      <w:r w:rsidR="001D2A25" w:rsidRPr="008C1AD7">
        <w:rPr>
          <w:rFonts w:cs="Times New Roman"/>
          <w:sz w:val="28"/>
          <w:szCs w:val="28"/>
          <w:lang w:val="bg-BG"/>
        </w:rPr>
        <w:t xml:space="preserve"> 1</w:t>
      </w:r>
      <w:r w:rsidRPr="008C1AD7">
        <w:rPr>
          <w:rFonts w:cs="Times New Roman"/>
          <w:sz w:val="28"/>
          <w:szCs w:val="28"/>
          <w:lang w:val="bg-BG"/>
        </w:rPr>
        <w:t>4</w:t>
      </w:r>
      <w:r w:rsidR="001D2A25" w:rsidRPr="008C1AD7">
        <w:rPr>
          <w:rFonts w:cs="Times New Roman"/>
          <w:sz w:val="28"/>
          <w:szCs w:val="28"/>
          <w:lang w:val="bg-BG"/>
        </w:rPr>
        <w:t xml:space="preserve"> pt</w:t>
      </w:r>
      <w:r w:rsidRPr="008C1AD7">
        <w:rPr>
          <w:rFonts w:cs="Times New Roman"/>
          <w:sz w:val="28"/>
          <w:szCs w:val="28"/>
          <w:lang w:val="bg-BG"/>
        </w:rPr>
        <w:t xml:space="preserve">, </w:t>
      </w:r>
      <w:r w:rsidRPr="008C1AD7">
        <w:rPr>
          <w:rFonts w:cs="Times New Roman"/>
          <w:sz w:val="28"/>
          <w:szCs w:val="28"/>
        </w:rPr>
        <w:t>BOLD</w:t>
      </w:r>
      <w:r w:rsidRPr="008C1AD7">
        <w:rPr>
          <w:rFonts w:cs="Times New Roman"/>
          <w:sz w:val="28"/>
          <w:szCs w:val="28"/>
          <w:lang w:val="bg-BG"/>
        </w:rPr>
        <w:t xml:space="preserve">, </w:t>
      </w:r>
      <w:r w:rsidR="008C1AD7" w:rsidRPr="008C1AD7">
        <w:rPr>
          <w:rFonts w:cs="Times New Roman"/>
          <w:sz w:val="28"/>
          <w:szCs w:val="28"/>
        </w:rPr>
        <w:t>Centered</w:t>
      </w:r>
      <w:r w:rsidR="001D2A25" w:rsidRPr="008C1AD7">
        <w:rPr>
          <w:rFonts w:cs="Times New Roman"/>
          <w:sz w:val="28"/>
          <w:szCs w:val="28"/>
          <w:lang w:val="bg-BG"/>
        </w:rPr>
        <w:t>)</w:t>
      </w:r>
    </w:p>
    <w:p w:rsidR="00CA10A7" w:rsidRDefault="00CA10A7" w:rsidP="0055653C">
      <w:pPr>
        <w:pStyle w:val="VSUMain"/>
        <w:spacing w:after="23"/>
        <w:ind w:firstLine="652"/>
        <w:rPr>
          <w:rStyle w:val="apple-converted-space"/>
          <w:b/>
          <w:iCs/>
          <w:sz w:val="22"/>
          <w:szCs w:val="22"/>
          <w:lang w:val="bg-BG"/>
        </w:rPr>
      </w:pPr>
    </w:p>
    <w:p w:rsidR="001D2A25" w:rsidRPr="008667D9" w:rsidRDefault="00CA10A7" w:rsidP="00CA10A7">
      <w:pPr>
        <w:pStyle w:val="VSUMain"/>
        <w:spacing w:after="23"/>
        <w:ind w:firstLine="652"/>
        <w:jc w:val="center"/>
        <w:rPr>
          <w:b/>
          <w:lang w:val="bg-BG"/>
        </w:rPr>
      </w:pPr>
      <w:r w:rsidRPr="00CA10A7">
        <w:rPr>
          <w:rStyle w:val="apple-converted-space"/>
          <w:b/>
          <w:iCs/>
          <w:sz w:val="28"/>
          <w:szCs w:val="28"/>
          <w:lang w:val="bg-BG"/>
        </w:rPr>
        <w:t>ЗАГЛАВИЕ НА ДОКЛАДА НА АНГЛИЙСКИ ЕЗИК</w:t>
      </w:r>
      <w:r w:rsidRPr="00CA10A7">
        <w:rPr>
          <w:rStyle w:val="apple-converted-space"/>
          <w:b/>
          <w:iCs/>
          <w:color w:val="FF0000"/>
          <w:sz w:val="28"/>
          <w:szCs w:val="28"/>
          <w:lang w:val="bg-BG"/>
        </w:rPr>
        <w:t xml:space="preserve"> </w:t>
      </w:r>
      <w:r w:rsidRPr="00CA10A7">
        <w:rPr>
          <w:rStyle w:val="apple-converted-space"/>
          <w:b/>
          <w:iCs/>
          <w:lang w:val="bg-BG"/>
        </w:rPr>
        <w:t xml:space="preserve">(ако докладът е на </w:t>
      </w:r>
      <w:r w:rsidRPr="008667D9">
        <w:rPr>
          <w:rStyle w:val="apple-converted-space"/>
          <w:b/>
          <w:iCs/>
          <w:lang w:val="bg-BG"/>
        </w:rPr>
        <w:t>друг език)</w:t>
      </w:r>
    </w:p>
    <w:p w:rsidR="001D2A25" w:rsidRPr="008667D9" w:rsidRDefault="00DE3A6B" w:rsidP="0055653C">
      <w:pPr>
        <w:pStyle w:val="VSUAuthors"/>
        <w:spacing w:after="23"/>
        <w:ind w:firstLine="652"/>
        <w:rPr>
          <w:szCs w:val="24"/>
          <w:lang w:val="bg-BG"/>
        </w:rPr>
      </w:pPr>
      <w:r w:rsidRPr="008667D9">
        <w:rPr>
          <w:lang w:val="ru-RU"/>
        </w:rPr>
        <w:t xml:space="preserve">Научно звание, степен, име и фамилия на автора, месторабота </w:t>
      </w:r>
      <w:r w:rsidR="001D2A25" w:rsidRPr="008667D9">
        <w:rPr>
          <w:szCs w:val="24"/>
          <w:lang w:val="bg-BG"/>
        </w:rPr>
        <w:t>(Times New Roman</w:t>
      </w:r>
      <w:r w:rsidR="006144F5" w:rsidRPr="008667D9">
        <w:rPr>
          <w:szCs w:val="24"/>
          <w:lang w:val="bg-BG"/>
        </w:rPr>
        <w:t>,</w:t>
      </w:r>
      <w:r w:rsidR="001D2A25" w:rsidRPr="008667D9">
        <w:rPr>
          <w:szCs w:val="24"/>
          <w:lang w:val="bg-BG"/>
        </w:rPr>
        <w:t xml:space="preserve"> 12 pt</w:t>
      </w:r>
      <w:r w:rsidRPr="008667D9">
        <w:rPr>
          <w:szCs w:val="24"/>
          <w:lang w:val="bg-BG"/>
        </w:rPr>
        <w:t>,</w:t>
      </w:r>
      <w:r w:rsidR="001D2A25" w:rsidRPr="008667D9">
        <w:rPr>
          <w:szCs w:val="24"/>
          <w:lang w:val="bg-BG"/>
        </w:rPr>
        <w:t xml:space="preserve"> </w:t>
      </w:r>
      <w:r w:rsidR="00FE256D" w:rsidRPr="008667D9">
        <w:rPr>
          <w:szCs w:val="24"/>
          <w:lang w:val="bg-BG"/>
        </w:rPr>
        <w:t>центриран текст</w:t>
      </w:r>
      <w:r w:rsidR="001D2A25" w:rsidRPr="008667D9">
        <w:rPr>
          <w:szCs w:val="24"/>
          <w:lang w:val="bg-BG"/>
        </w:rPr>
        <w:t>)</w:t>
      </w:r>
    </w:p>
    <w:p w:rsidR="001D2A25" w:rsidRPr="008667D9" w:rsidRDefault="001D2A25" w:rsidP="0055653C">
      <w:pPr>
        <w:pStyle w:val="VSUMain"/>
        <w:spacing w:after="23"/>
        <w:ind w:firstLine="652"/>
        <w:rPr>
          <w:lang w:val="bg-BG"/>
        </w:rPr>
      </w:pPr>
    </w:p>
    <w:p w:rsidR="00DF0936" w:rsidRDefault="008C1AD7" w:rsidP="00DF0936">
      <w:pPr>
        <w:jc w:val="both"/>
        <w:rPr>
          <w:i/>
        </w:rPr>
      </w:pPr>
      <w:r w:rsidRPr="008667D9">
        <w:rPr>
          <w:iCs/>
          <w:sz w:val="22"/>
          <w:szCs w:val="22"/>
        </w:rPr>
        <w:t>Abstract</w:t>
      </w:r>
      <w:r w:rsidRPr="008667D9">
        <w:rPr>
          <w:iCs/>
          <w:sz w:val="22"/>
          <w:szCs w:val="22"/>
          <w:lang w:val="bg-BG"/>
        </w:rPr>
        <w:t>:</w:t>
      </w:r>
      <w:r w:rsidRPr="008667D9">
        <w:rPr>
          <w:rStyle w:val="apple-converted-space"/>
          <w:iCs/>
          <w:sz w:val="22"/>
          <w:szCs w:val="22"/>
        </w:rPr>
        <w:t> </w:t>
      </w:r>
      <w:r w:rsidRPr="008667D9">
        <w:rPr>
          <w:rStyle w:val="apple-converted-space"/>
          <w:b/>
          <w:iCs/>
          <w:sz w:val="22"/>
          <w:szCs w:val="22"/>
          <w:lang w:val="bg-BG"/>
        </w:rPr>
        <w:t>(</w:t>
      </w:r>
      <w:r w:rsidR="00CA10A7" w:rsidRPr="008667D9">
        <w:rPr>
          <w:rStyle w:val="apple-converted-space"/>
          <w:b/>
          <w:iCs/>
          <w:sz w:val="22"/>
          <w:szCs w:val="22"/>
          <w:lang w:val="bg-BG"/>
        </w:rPr>
        <w:t>на английски език</w:t>
      </w:r>
      <w:r w:rsidR="00D86E6C" w:rsidRPr="008667D9">
        <w:rPr>
          <w:rStyle w:val="apple-converted-space"/>
          <w:b/>
          <w:iCs/>
          <w:sz w:val="22"/>
          <w:szCs w:val="22"/>
          <w:lang w:val="bg-BG"/>
        </w:rPr>
        <w:t xml:space="preserve">, </w:t>
      </w:r>
      <w:r w:rsidR="002251CA" w:rsidRPr="008667D9">
        <w:rPr>
          <w:rStyle w:val="apple-converted-space"/>
          <w:b/>
          <w:iCs/>
          <w:sz w:val="22"/>
          <w:szCs w:val="22"/>
          <w:lang w:val="bg-BG"/>
        </w:rPr>
        <w:t xml:space="preserve">шрифт </w:t>
      </w:r>
      <w:r w:rsidRPr="008667D9">
        <w:rPr>
          <w:b/>
          <w:sz w:val="22"/>
          <w:szCs w:val="22"/>
          <w:lang w:val="bg-BG"/>
        </w:rPr>
        <w:t>Times New Roman, 1</w:t>
      </w:r>
      <w:r w:rsidR="00035F1E" w:rsidRPr="008667D9">
        <w:rPr>
          <w:b/>
          <w:sz w:val="22"/>
          <w:szCs w:val="22"/>
          <w:lang w:val="bg-BG"/>
        </w:rPr>
        <w:t>1</w:t>
      </w:r>
      <w:r w:rsidRPr="008667D9">
        <w:rPr>
          <w:b/>
          <w:sz w:val="22"/>
          <w:szCs w:val="22"/>
          <w:lang w:val="bg-BG"/>
        </w:rPr>
        <w:t xml:space="preserve"> pt, </w:t>
      </w:r>
      <w:r w:rsidRPr="008667D9">
        <w:rPr>
          <w:b/>
          <w:sz w:val="22"/>
          <w:szCs w:val="22"/>
        </w:rPr>
        <w:t>Justify</w:t>
      </w:r>
      <w:r w:rsidRPr="008667D9">
        <w:rPr>
          <w:b/>
          <w:sz w:val="22"/>
          <w:szCs w:val="22"/>
          <w:lang w:val="bg-BG"/>
        </w:rPr>
        <w:t xml:space="preserve">, не повече от </w:t>
      </w:r>
      <w:r w:rsidR="00035F1E" w:rsidRPr="008667D9">
        <w:rPr>
          <w:b/>
          <w:sz w:val="22"/>
          <w:szCs w:val="22"/>
          <w:lang w:val="bg-BG"/>
        </w:rPr>
        <w:t>3</w:t>
      </w:r>
      <w:r w:rsidRPr="008667D9">
        <w:rPr>
          <w:b/>
          <w:sz w:val="22"/>
          <w:szCs w:val="22"/>
          <w:lang w:val="bg-BG"/>
        </w:rPr>
        <w:t xml:space="preserve">00 </w:t>
      </w:r>
      <w:r w:rsidR="00035F1E" w:rsidRPr="008667D9">
        <w:rPr>
          <w:b/>
          <w:sz w:val="22"/>
          <w:szCs w:val="22"/>
          <w:lang w:val="bg-BG"/>
        </w:rPr>
        <w:t>думи или 19</w:t>
      </w:r>
      <w:r w:rsidR="00520D88" w:rsidRPr="008667D9">
        <w:rPr>
          <w:b/>
          <w:sz w:val="22"/>
          <w:szCs w:val="22"/>
          <w:lang w:val="bg-BG"/>
        </w:rPr>
        <w:t xml:space="preserve">00 знака) </w:t>
      </w:r>
      <w:r w:rsidR="00DF0936">
        <w:rPr>
          <w:i/>
        </w:rPr>
        <w:t>The paper deals with the development of an online English course on an e-platform to be used for training of military personnel regardless of rank. It also describes the combined efforts of language specialists from different countries to elaborate materials for the preparation for STANAG 6001 level 3 tests. The aim of the platform is to enhance the English language skills of military personnel in order to improve interoperability within NATO.</w:t>
      </w:r>
    </w:p>
    <w:p w:rsidR="00DF0936" w:rsidRDefault="00DF0936" w:rsidP="00DF0936">
      <w:pPr>
        <w:jc w:val="both"/>
        <w:rPr>
          <w:i/>
        </w:rPr>
      </w:pPr>
    </w:p>
    <w:p w:rsidR="00DF0936" w:rsidRDefault="00DF0936" w:rsidP="00DF0936">
      <w:pPr>
        <w:jc w:val="both"/>
        <w:rPr>
          <w:i/>
        </w:rPr>
      </w:pPr>
      <w:r>
        <w:rPr>
          <w:b/>
          <w:i/>
        </w:rPr>
        <w:t>Keywords:</w:t>
      </w:r>
      <w:r>
        <w:rPr>
          <w:i/>
        </w:rPr>
        <w:t xml:space="preserve"> online course, e-platform, STANAG 6001, interoperability, NA</w:t>
      </w:r>
      <w:r w:rsidRPr="000273C9">
        <w:rPr>
          <w:i/>
        </w:rPr>
        <w:t>TO</w:t>
      </w:r>
    </w:p>
    <w:p w:rsidR="001D2A25" w:rsidRPr="008667D9" w:rsidRDefault="00DF0936" w:rsidP="0055653C">
      <w:pPr>
        <w:pStyle w:val="NormalWeb"/>
        <w:shd w:val="clear" w:color="auto" w:fill="FFFFFF"/>
        <w:spacing w:before="0" w:beforeAutospacing="0" w:after="23" w:afterAutospacing="0"/>
        <w:ind w:firstLine="652"/>
        <w:jc w:val="both"/>
        <w:rPr>
          <w:sz w:val="22"/>
          <w:szCs w:val="22"/>
        </w:rPr>
      </w:pPr>
      <w:r w:rsidRPr="008667D9">
        <w:rPr>
          <w:sz w:val="22"/>
          <w:szCs w:val="22"/>
        </w:rPr>
        <w:t xml:space="preserve"> </w:t>
      </w:r>
      <w:r w:rsidR="00277B35" w:rsidRPr="008667D9">
        <w:rPr>
          <w:sz w:val="22"/>
          <w:szCs w:val="22"/>
        </w:rPr>
        <w:t>(</w:t>
      </w:r>
      <w:r w:rsidR="001D2A25" w:rsidRPr="008667D9">
        <w:rPr>
          <w:sz w:val="22"/>
          <w:szCs w:val="22"/>
        </w:rPr>
        <w:t>Times New Roman, 1</w:t>
      </w:r>
      <w:r w:rsidR="00D86E6C" w:rsidRPr="008667D9">
        <w:rPr>
          <w:sz w:val="22"/>
          <w:szCs w:val="22"/>
          <w:lang w:val="en-US"/>
        </w:rPr>
        <w:t>1</w:t>
      </w:r>
      <w:r w:rsidR="001D2A25" w:rsidRPr="008667D9">
        <w:rPr>
          <w:sz w:val="22"/>
          <w:szCs w:val="22"/>
        </w:rPr>
        <w:t xml:space="preserve"> pt, </w:t>
      </w:r>
      <w:r w:rsidR="00277B35" w:rsidRPr="008667D9">
        <w:rPr>
          <w:sz w:val="22"/>
          <w:szCs w:val="22"/>
        </w:rPr>
        <w:t>Justify)</w:t>
      </w:r>
    </w:p>
    <w:p w:rsidR="001D2A25" w:rsidRPr="008667D9" w:rsidRDefault="001D2A25" w:rsidP="0055653C">
      <w:pPr>
        <w:pStyle w:val="VSUMain"/>
        <w:spacing w:after="23"/>
        <w:ind w:firstLine="652"/>
        <w:rPr>
          <w:lang w:val="bg-BG"/>
        </w:rPr>
      </w:pPr>
    </w:p>
    <w:p w:rsidR="001D2A25" w:rsidRPr="008667D9" w:rsidRDefault="001D2A25" w:rsidP="0055653C">
      <w:pPr>
        <w:pStyle w:val="VSUHeadings"/>
        <w:spacing w:after="23"/>
        <w:ind w:firstLine="652"/>
        <w:rPr>
          <w:rFonts w:cs="Times New Roman"/>
          <w:szCs w:val="24"/>
          <w:lang w:val="en-GB"/>
        </w:rPr>
      </w:pPr>
      <w:r w:rsidRPr="008667D9">
        <w:rPr>
          <w:rFonts w:cs="Times New Roman"/>
          <w:szCs w:val="24"/>
          <w:lang w:val="bg-BG"/>
        </w:rPr>
        <w:t>Times New Roman, 12 pt, Left Alignment</w:t>
      </w:r>
      <w:r w:rsidRPr="008667D9">
        <w:rPr>
          <w:rFonts w:cs="Times New Roman"/>
          <w:szCs w:val="24"/>
          <w:lang w:val="en-GB"/>
        </w:rPr>
        <w:t xml:space="preserve">, Indentation: First Line 1 cm </w:t>
      </w:r>
    </w:p>
    <w:p w:rsidR="001D2A25" w:rsidRDefault="005D3510" w:rsidP="0055653C">
      <w:pPr>
        <w:pStyle w:val="VSUMain"/>
        <w:spacing w:after="23"/>
        <w:ind w:firstLine="652"/>
        <w:rPr>
          <w:lang w:val="bg-BG"/>
        </w:rPr>
      </w:pPr>
      <w:r w:rsidRPr="008667D9">
        <w:rPr>
          <w:lang w:val="bg-BG"/>
        </w:rPr>
        <w:t>Докладът трябва да бъде форматиран със следните характеристики</w:t>
      </w:r>
      <w:r w:rsidR="002E0280" w:rsidRPr="008667D9">
        <w:rPr>
          <w:lang w:val="bg-BG"/>
        </w:rPr>
        <w:t xml:space="preserve">: </w:t>
      </w:r>
      <w:r w:rsidR="00FE256D" w:rsidRPr="008667D9">
        <w:rPr>
          <w:lang w:val="bg-BG"/>
        </w:rPr>
        <w:t>р</w:t>
      </w:r>
      <w:r w:rsidR="001D2A25" w:rsidRPr="008667D9">
        <w:rPr>
          <w:lang w:val="bg-BG"/>
        </w:rPr>
        <w:t>азмер</w:t>
      </w:r>
      <w:r w:rsidR="002E0280" w:rsidRPr="008667D9">
        <w:rPr>
          <w:lang w:val="bg-BG"/>
        </w:rPr>
        <w:t xml:space="preserve"> </w:t>
      </w:r>
      <w:r w:rsidR="001D2A25" w:rsidRPr="008667D9">
        <w:rPr>
          <w:lang w:val="bg-BG"/>
        </w:rPr>
        <w:t>на страницата 21</w:t>
      </w:r>
      <w:r w:rsidR="002E0280" w:rsidRPr="008667D9">
        <w:rPr>
          <w:lang w:val="bg-BG"/>
        </w:rPr>
        <w:t xml:space="preserve"> см</w:t>
      </w:r>
      <w:r w:rsidRPr="008667D9">
        <w:rPr>
          <w:lang w:val="bg-BG"/>
        </w:rPr>
        <w:t xml:space="preserve"> </w:t>
      </w:r>
      <w:r w:rsidR="001D2A25" w:rsidRPr="008667D9">
        <w:rPr>
          <w:lang w:val="bg-BG"/>
        </w:rPr>
        <w:t>×</w:t>
      </w:r>
      <w:r w:rsidRPr="008667D9">
        <w:rPr>
          <w:lang w:val="bg-BG"/>
        </w:rPr>
        <w:t xml:space="preserve"> </w:t>
      </w:r>
      <w:r w:rsidR="001D2A25" w:rsidRPr="008667D9">
        <w:rPr>
          <w:lang w:val="bg-BG"/>
        </w:rPr>
        <w:t>2</w:t>
      </w:r>
      <w:r w:rsidR="002251CA" w:rsidRPr="008667D9">
        <w:rPr>
          <w:lang w:val="bg-BG"/>
        </w:rPr>
        <w:t>9,7</w:t>
      </w:r>
      <w:r w:rsidR="002E0280" w:rsidRPr="008667D9">
        <w:rPr>
          <w:lang w:val="bg-BG"/>
        </w:rPr>
        <w:t xml:space="preserve"> см</w:t>
      </w:r>
      <w:r w:rsidR="001D2A25" w:rsidRPr="008667D9">
        <w:rPr>
          <w:lang w:val="bg-BG"/>
        </w:rPr>
        <w:t xml:space="preserve"> (</w:t>
      </w:r>
      <w:r w:rsidR="002251CA" w:rsidRPr="008667D9">
        <w:rPr>
          <w:lang w:val="bg-BG"/>
        </w:rPr>
        <w:t>А4</w:t>
      </w:r>
      <w:r w:rsidR="002E0280" w:rsidRPr="008667D9">
        <w:rPr>
          <w:lang w:val="bg-BG"/>
        </w:rPr>
        <w:t>)</w:t>
      </w:r>
      <w:r w:rsidR="00EF649F" w:rsidRPr="008667D9">
        <w:rPr>
          <w:lang w:val="bg-BG"/>
        </w:rPr>
        <w:t xml:space="preserve">, </w:t>
      </w:r>
      <w:r w:rsidR="002251CA" w:rsidRPr="008667D9">
        <w:rPr>
          <w:bCs/>
          <w:lang w:val="en-US"/>
        </w:rPr>
        <w:t>Top</w:t>
      </w:r>
      <w:r w:rsidR="002251CA" w:rsidRPr="008667D9">
        <w:rPr>
          <w:bCs/>
        </w:rPr>
        <w:t xml:space="preserve">: 2 </w:t>
      </w:r>
      <w:r w:rsidR="00C01B54" w:rsidRPr="008667D9">
        <w:rPr>
          <w:bCs/>
        </w:rPr>
        <w:t>cm</w:t>
      </w:r>
      <w:r w:rsidR="002251CA" w:rsidRPr="008667D9">
        <w:rPr>
          <w:bCs/>
        </w:rPr>
        <w:t xml:space="preserve">, </w:t>
      </w:r>
      <w:r w:rsidR="00C01B54" w:rsidRPr="008667D9">
        <w:rPr>
          <w:bCs/>
          <w:lang w:val="en-US"/>
        </w:rPr>
        <w:t>Bottom: 2 cm, Left: 2 cm, Right: 2 cm</w:t>
      </w:r>
      <w:r w:rsidR="002251CA" w:rsidRPr="008667D9">
        <w:rPr>
          <w:bCs/>
        </w:rPr>
        <w:t>;</w:t>
      </w:r>
      <w:r w:rsidR="001D2A25" w:rsidRPr="008667D9">
        <w:rPr>
          <w:lang w:val="bg-BG"/>
        </w:rPr>
        <w:t xml:space="preserve"> Шрифтът е Times New Rom</w:t>
      </w:r>
      <w:r w:rsidR="00EF649F" w:rsidRPr="008667D9">
        <w:rPr>
          <w:lang w:val="bg-BG"/>
        </w:rPr>
        <w:t xml:space="preserve">an, 12 pt, </w:t>
      </w:r>
      <w:r w:rsidR="002251CA" w:rsidRPr="008667D9">
        <w:t>Justify,</w:t>
      </w:r>
      <w:r w:rsidR="001D2A25" w:rsidRPr="008667D9">
        <w:rPr>
          <w:lang w:val="bg-BG"/>
        </w:rPr>
        <w:t xml:space="preserve"> </w:t>
      </w:r>
      <w:r w:rsidR="002251CA" w:rsidRPr="008667D9">
        <w:t>Spacing</w:t>
      </w:r>
      <w:r w:rsidR="002E0280" w:rsidRPr="008667D9">
        <w:rPr>
          <w:lang w:val="bg-BG"/>
        </w:rPr>
        <w:t xml:space="preserve"> – 1 (</w:t>
      </w:r>
      <w:r w:rsidR="002E0280" w:rsidRPr="008667D9">
        <w:rPr>
          <w:lang w:val="en-US"/>
        </w:rPr>
        <w:t>Single</w:t>
      </w:r>
      <w:r w:rsidR="002E0280" w:rsidRPr="008667D9">
        <w:rPr>
          <w:lang w:val="bg-BG"/>
        </w:rPr>
        <w:t xml:space="preserve">) </w:t>
      </w:r>
      <w:r w:rsidR="00E62B03" w:rsidRPr="008667D9">
        <w:rPr>
          <w:lang w:val="bg-BG"/>
        </w:rPr>
        <w:t>и отстъп на първия абзац 1</w:t>
      </w:r>
      <w:r w:rsidR="00035F1E" w:rsidRPr="008667D9">
        <w:rPr>
          <w:lang w:val="en-US"/>
        </w:rPr>
        <w:t>.15</w:t>
      </w:r>
      <w:r w:rsidR="00E62B03" w:rsidRPr="008667D9">
        <w:rPr>
          <w:lang w:val="bg-BG"/>
        </w:rPr>
        <w:t xml:space="preserve"> см (First line). </w:t>
      </w:r>
      <w:r w:rsidR="001D2A25" w:rsidRPr="008667D9">
        <w:rPr>
          <w:b/>
          <w:lang w:val="bg-BG"/>
        </w:rPr>
        <w:t>Максималният брой страници е 6 (шест)</w:t>
      </w:r>
      <w:r w:rsidR="0055653C" w:rsidRPr="008667D9">
        <w:rPr>
          <w:b/>
          <w:lang w:val="bg-BG"/>
        </w:rPr>
        <w:t xml:space="preserve"> стандартни маш</w:t>
      </w:r>
      <w:bookmarkStart w:id="0" w:name="_GoBack"/>
      <w:bookmarkEnd w:id="0"/>
      <w:r w:rsidR="0055653C" w:rsidRPr="008667D9">
        <w:rPr>
          <w:b/>
          <w:lang w:val="bg-BG"/>
        </w:rPr>
        <w:t>инописни страници (1800 знака/стр.)</w:t>
      </w:r>
      <w:r w:rsidR="001D2A25" w:rsidRPr="008667D9">
        <w:rPr>
          <w:b/>
          <w:lang w:val="bg-BG"/>
        </w:rPr>
        <w:t>,</w:t>
      </w:r>
      <w:r w:rsidR="002251CA" w:rsidRPr="008667D9">
        <w:rPr>
          <w:lang w:val="bg-BG"/>
        </w:rPr>
        <w:t xml:space="preserve"> в к</w:t>
      </w:r>
      <w:r w:rsidR="00D533F3" w:rsidRPr="008667D9">
        <w:rPr>
          <w:lang w:val="bg-BG"/>
        </w:rPr>
        <w:t>оито се включват заглавието, абстрактът</w:t>
      </w:r>
      <w:r w:rsidR="001D2A25" w:rsidRPr="008667D9">
        <w:rPr>
          <w:lang w:val="bg-BG"/>
        </w:rPr>
        <w:t>, таблиците, фигурите</w:t>
      </w:r>
      <w:r w:rsidR="001D2A25" w:rsidRPr="00BC1458">
        <w:rPr>
          <w:lang w:val="bg-BG"/>
        </w:rPr>
        <w:t xml:space="preserve"> и литература</w:t>
      </w:r>
      <w:r w:rsidR="008A7177">
        <w:rPr>
          <w:lang w:val="bg-BG"/>
        </w:rPr>
        <w:t>та</w:t>
      </w:r>
      <w:r w:rsidR="001D2A25" w:rsidRPr="00BC1458">
        <w:rPr>
          <w:lang w:val="bg-BG"/>
        </w:rPr>
        <w:t xml:space="preserve">. </w:t>
      </w:r>
      <w:r w:rsidR="002E0280">
        <w:rPr>
          <w:lang w:val="bg-BG"/>
        </w:rPr>
        <w:t>С</w:t>
      </w:r>
      <w:r w:rsidR="001D2A25" w:rsidRPr="00BC1458">
        <w:rPr>
          <w:b/>
          <w:lang w:val="bg-BG"/>
        </w:rPr>
        <w:t>траниците</w:t>
      </w:r>
      <w:r w:rsidR="002251CA" w:rsidRPr="002251CA">
        <w:rPr>
          <w:b/>
          <w:lang w:val="bg-BG"/>
        </w:rPr>
        <w:t xml:space="preserve"> </w:t>
      </w:r>
      <w:r w:rsidR="002251CA">
        <w:rPr>
          <w:b/>
          <w:lang w:val="bg-BG"/>
        </w:rPr>
        <w:t>да</w:t>
      </w:r>
      <w:r w:rsidR="002E0280">
        <w:rPr>
          <w:b/>
          <w:lang w:val="bg-BG"/>
        </w:rPr>
        <w:t xml:space="preserve"> не се номерират</w:t>
      </w:r>
      <w:r w:rsidR="001D2A25" w:rsidRPr="00BC1458">
        <w:rPr>
          <w:lang w:val="bg-BG"/>
        </w:rPr>
        <w:t>.</w:t>
      </w:r>
    </w:p>
    <w:p w:rsidR="00153515" w:rsidRDefault="00FC0BF3" w:rsidP="00153515">
      <w:pPr>
        <w:pStyle w:val="VSUMain"/>
        <w:spacing w:after="23"/>
        <w:ind w:firstLine="652"/>
        <w:rPr>
          <w:lang w:val="en-US"/>
        </w:rPr>
      </w:pPr>
      <w:r w:rsidRPr="00153515">
        <w:rPr>
          <w:lang w:val="bg-BG"/>
        </w:rPr>
        <w:t xml:space="preserve">Докладите да се изпращат </w:t>
      </w:r>
      <w:r w:rsidR="00153515" w:rsidRPr="00153515">
        <w:rPr>
          <w:lang w:val="bg-BG"/>
        </w:rPr>
        <w:t xml:space="preserve">на </w:t>
      </w:r>
      <w:r w:rsidR="00153515">
        <w:rPr>
          <w:lang w:val="en-US"/>
        </w:rPr>
        <w:t xml:space="preserve">e-mail </w:t>
      </w:r>
      <w:r w:rsidR="00153515">
        <w:rPr>
          <w:lang w:val="bg-BG"/>
        </w:rPr>
        <w:t xml:space="preserve">адрес </w:t>
      </w:r>
      <w:r w:rsidR="00880BAB" w:rsidRPr="00880BAB">
        <w:rPr>
          <w:rFonts w:ascii="Arial" w:hAnsi="Arial" w:cs="Arial"/>
          <w:i/>
          <w:color w:val="0070C0"/>
          <w:u w:val="single"/>
          <w:shd w:val="clear" w:color="auto" w:fill="FFFFFF"/>
        </w:rPr>
        <w:t>conference.admin@nvna.eu</w:t>
      </w:r>
    </w:p>
    <w:p w:rsidR="001D2A25" w:rsidRDefault="008A7177" w:rsidP="0055653C">
      <w:pPr>
        <w:pStyle w:val="VSUMain"/>
        <w:spacing w:after="23"/>
        <w:ind w:firstLine="652"/>
        <w:rPr>
          <w:lang w:val="bg-BG"/>
        </w:rPr>
      </w:pPr>
      <w:r>
        <w:rPr>
          <w:lang w:val="bg-BG"/>
        </w:rPr>
        <w:t xml:space="preserve">За да спазите </w:t>
      </w:r>
      <w:r w:rsidR="001D2A25" w:rsidRPr="00D068F5">
        <w:rPr>
          <w:lang w:val="bg-BG"/>
        </w:rPr>
        <w:t xml:space="preserve">изискванията за форматиране, препоръчваме да оформяте доклада си директно в настоящия файл-шаблон, който е </w:t>
      </w:r>
      <w:r>
        <w:rPr>
          <w:lang w:val="bg-BG"/>
        </w:rPr>
        <w:t>форматиран според</w:t>
      </w:r>
      <w:r w:rsidR="001D2A25" w:rsidRPr="00BC1458">
        <w:rPr>
          <w:lang w:val="bg-BG"/>
        </w:rPr>
        <w:t xml:space="preserve"> изискванията.</w:t>
      </w:r>
    </w:p>
    <w:p w:rsidR="00806E49" w:rsidRPr="00CA10A7" w:rsidRDefault="00806E49" w:rsidP="0055653C">
      <w:pPr>
        <w:tabs>
          <w:tab w:val="left" w:pos="993"/>
        </w:tabs>
        <w:spacing w:after="23"/>
        <w:ind w:firstLine="652"/>
        <w:jc w:val="both"/>
        <w:rPr>
          <w:spacing w:val="4"/>
          <w:lang w:val="bg-BG"/>
        </w:rPr>
      </w:pPr>
      <w:r w:rsidRPr="00806E49">
        <w:rPr>
          <w:b/>
          <w:spacing w:val="4"/>
          <w:lang w:val="bg-BG"/>
        </w:rPr>
        <w:t xml:space="preserve">Цитирането вътре в текста да бъде от вида </w:t>
      </w:r>
      <w:r w:rsidRPr="00806E49">
        <w:rPr>
          <w:b/>
          <w:bCs/>
          <w:spacing w:val="4"/>
          <w:lang w:val="bg-BG"/>
        </w:rPr>
        <w:t>(Иванов</w:t>
      </w:r>
      <w:r w:rsidR="00D86E6C" w:rsidRPr="00D86E6C">
        <w:rPr>
          <w:b/>
          <w:bCs/>
          <w:color w:val="FF0000"/>
          <w:spacing w:val="4"/>
          <w:lang w:val="bg-BG"/>
        </w:rPr>
        <w:t>,</w:t>
      </w:r>
      <w:r w:rsidRPr="00806E49">
        <w:rPr>
          <w:b/>
          <w:bCs/>
          <w:spacing w:val="4"/>
          <w:lang w:val="bg-BG"/>
        </w:rPr>
        <w:t xml:space="preserve"> 2000</w:t>
      </w:r>
      <w:r w:rsidR="00D86E6C" w:rsidRPr="00D86E6C">
        <w:rPr>
          <w:b/>
          <w:bCs/>
          <w:color w:val="FF0000"/>
          <w:spacing w:val="4"/>
          <w:lang w:val="bg-BG"/>
        </w:rPr>
        <w:t>:</w:t>
      </w:r>
      <w:r w:rsidRPr="00806E49">
        <w:rPr>
          <w:b/>
          <w:bCs/>
          <w:spacing w:val="4"/>
          <w:lang w:val="bg-BG"/>
        </w:rPr>
        <w:t>35)</w:t>
      </w:r>
      <w:r w:rsidRPr="00806E49">
        <w:rPr>
          <w:b/>
          <w:spacing w:val="4"/>
          <w:lang w:val="bg-BG"/>
        </w:rPr>
        <w:t>,</w:t>
      </w:r>
      <w:r w:rsidRPr="00806E49">
        <w:rPr>
          <w:spacing w:val="4"/>
          <w:lang w:val="bg-BG"/>
        </w:rPr>
        <w:t xml:space="preserve"> т.е. в кръгли скоби да бъде посочена фамилията на автора</w:t>
      </w:r>
      <w:r>
        <w:rPr>
          <w:spacing w:val="4"/>
          <w:lang w:val="bg-BG"/>
        </w:rPr>
        <w:t xml:space="preserve">, годината на издаване на цитирания източник, а след </w:t>
      </w:r>
      <w:r w:rsidR="00D86E6C">
        <w:rPr>
          <w:spacing w:val="4"/>
          <w:lang w:val="bg-BG"/>
        </w:rPr>
        <w:t xml:space="preserve">двоеточие </w:t>
      </w:r>
      <w:r>
        <w:rPr>
          <w:spacing w:val="4"/>
          <w:lang w:val="bg-BG"/>
        </w:rPr>
        <w:t>да бъде изписан номерът на страницата.</w:t>
      </w:r>
      <w:r w:rsidR="00D86E6C">
        <w:rPr>
          <w:spacing w:val="4"/>
          <w:lang w:val="bg-BG"/>
        </w:rPr>
        <w:t xml:space="preserve"> </w:t>
      </w:r>
      <w:r w:rsidR="00D86E6C" w:rsidRPr="00CA10A7">
        <w:rPr>
          <w:spacing w:val="4"/>
          <w:lang w:val="bg-BG"/>
        </w:rPr>
        <w:t>При позоваване се посочва само годината на изданието.</w:t>
      </w:r>
    </w:p>
    <w:p w:rsidR="007133CE" w:rsidRDefault="00D86E6C" w:rsidP="0055653C">
      <w:pPr>
        <w:spacing w:after="23"/>
        <w:ind w:firstLine="652"/>
        <w:jc w:val="both"/>
        <w:rPr>
          <w:spacing w:val="4"/>
          <w:lang w:val="bg-BG"/>
        </w:rPr>
      </w:pPr>
      <w:r>
        <w:rPr>
          <w:spacing w:val="4"/>
          <w:lang w:val="bg-BG"/>
        </w:rPr>
        <w:t>Други</w:t>
      </w:r>
      <w:r w:rsidR="000B18E5">
        <w:rPr>
          <w:spacing w:val="4"/>
          <w:lang w:val="bg-BG"/>
        </w:rPr>
        <w:t>те</w:t>
      </w:r>
      <w:r>
        <w:rPr>
          <w:spacing w:val="4"/>
          <w:lang w:val="bg-BG"/>
        </w:rPr>
        <w:t xml:space="preserve"> обяснителни б</w:t>
      </w:r>
      <w:r w:rsidR="007133CE">
        <w:rPr>
          <w:spacing w:val="4"/>
          <w:lang w:val="bg-BG"/>
        </w:rPr>
        <w:t>ележките под черта да бъдат разпо</w:t>
      </w:r>
      <w:r w:rsidR="001F0C52">
        <w:rPr>
          <w:spacing w:val="4"/>
          <w:lang w:val="bg-BG"/>
        </w:rPr>
        <w:t>ложени на съответната страница</w:t>
      </w:r>
      <w:r w:rsidR="007133CE">
        <w:rPr>
          <w:spacing w:val="4"/>
          <w:lang w:val="bg-BG"/>
        </w:rPr>
        <w:t>.</w:t>
      </w:r>
      <w:r w:rsidR="000B18E5">
        <w:rPr>
          <w:spacing w:val="4"/>
          <w:lang w:val="bg-BG"/>
        </w:rPr>
        <w:t xml:space="preserve"> </w:t>
      </w:r>
    </w:p>
    <w:p w:rsidR="007133CE" w:rsidRPr="007133CE" w:rsidRDefault="007133CE" w:rsidP="0055653C">
      <w:pPr>
        <w:spacing w:after="23"/>
        <w:ind w:firstLine="652"/>
        <w:jc w:val="both"/>
        <w:rPr>
          <w:b/>
          <w:i/>
          <w:spacing w:val="4"/>
          <w:lang w:val="bg-BG"/>
        </w:rPr>
      </w:pPr>
      <w:r>
        <w:rPr>
          <w:spacing w:val="4"/>
          <w:lang w:val="bg-BG"/>
        </w:rPr>
        <w:t xml:space="preserve">Подчертаванията да бъдат в </w:t>
      </w:r>
      <w:r w:rsidRPr="007133CE">
        <w:rPr>
          <w:i/>
          <w:spacing w:val="4"/>
        </w:rPr>
        <w:t>Italic</w:t>
      </w:r>
      <w:r w:rsidR="00D86E6C">
        <w:rPr>
          <w:spacing w:val="4"/>
          <w:lang w:val="ru-RU"/>
        </w:rPr>
        <w:t xml:space="preserve">. </w:t>
      </w:r>
    </w:p>
    <w:p w:rsidR="00806E49" w:rsidRDefault="00806E49" w:rsidP="0055653C">
      <w:pPr>
        <w:spacing w:after="23"/>
        <w:ind w:left="284" w:firstLine="652"/>
        <w:jc w:val="both"/>
        <w:rPr>
          <w:spacing w:val="4"/>
          <w:lang w:val="bg-BG"/>
        </w:rPr>
      </w:pPr>
    </w:p>
    <w:p w:rsidR="001D2A25" w:rsidRPr="00BC1458" w:rsidRDefault="001D2A25" w:rsidP="0055653C">
      <w:pPr>
        <w:pStyle w:val="VSUHeadings"/>
        <w:spacing w:after="23"/>
        <w:ind w:firstLine="652"/>
        <w:rPr>
          <w:rFonts w:cs="Times New Roman"/>
          <w:szCs w:val="24"/>
          <w:lang w:val="bg-BG"/>
        </w:rPr>
      </w:pPr>
      <w:r w:rsidRPr="00BC1458">
        <w:rPr>
          <w:rFonts w:cs="Times New Roman"/>
          <w:szCs w:val="24"/>
          <w:lang w:val="bg-BG"/>
        </w:rPr>
        <w:t>Фигури и таблици</w:t>
      </w:r>
    </w:p>
    <w:p w:rsidR="007133CE" w:rsidRDefault="007133CE" w:rsidP="0055653C">
      <w:pPr>
        <w:spacing w:after="23"/>
        <w:ind w:firstLine="652"/>
        <w:jc w:val="both"/>
        <w:rPr>
          <w:spacing w:val="4"/>
          <w:lang w:val="bg-BG"/>
        </w:rPr>
      </w:pPr>
      <w:r>
        <w:rPr>
          <w:spacing w:val="4"/>
          <w:lang w:val="bg-BG"/>
        </w:rPr>
        <w:t>Графиките и таблиците  да бъдат разположени вътре в текста на съответното място, номерирани и озаглавени в шрифт получер (</w:t>
      </w:r>
      <w:r w:rsidRPr="00C416A9">
        <w:rPr>
          <w:spacing w:val="4"/>
          <w:lang w:val="de-DE"/>
        </w:rPr>
        <w:t>Bold</w:t>
      </w:r>
      <w:r>
        <w:rPr>
          <w:spacing w:val="4"/>
          <w:lang w:val="bg-BG"/>
        </w:rPr>
        <w:t>).</w:t>
      </w:r>
      <w:r w:rsidR="00C416A9" w:rsidRPr="00C416A9">
        <w:rPr>
          <w:lang w:val="bg-BG"/>
        </w:rPr>
        <w:t xml:space="preserve"> </w:t>
      </w:r>
      <w:r w:rsidR="00C416A9">
        <w:rPr>
          <w:lang w:val="bg-BG"/>
        </w:rPr>
        <w:t>О</w:t>
      </w:r>
      <w:r w:rsidR="00C416A9" w:rsidRPr="00BC1458">
        <w:rPr>
          <w:lang w:val="bg-BG"/>
        </w:rPr>
        <w:t xml:space="preserve">тделят </w:t>
      </w:r>
      <w:r w:rsidR="001F0C52">
        <w:rPr>
          <w:lang w:val="bg-BG"/>
        </w:rPr>
        <w:t xml:space="preserve">се </w:t>
      </w:r>
      <w:r w:rsidR="00C416A9" w:rsidRPr="00BC1458">
        <w:rPr>
          <w:lang w:val="bg-BG"/>
        </w:rPr>
        <w:t>от основния текст с един празен ред</w:t>
      </w:r>
      <w:r w:rsidR="00C416A9">
        <w:rPr>
          <w:lang w:val="bg-BG"/>
        </w:rPr>
        <w:t>.</w:t>
      </w:r>
      <w:r w:rsidR="00C416A9" w:rsidRPr="00C416A9">
        <w:rPr>
          <w:lang w:val="bg-BG"/>
        </w:rPr>
        <w:t xml:space="preserve"> </w:t>
      </w:r>
      <w:r w:rsidR="00C416A9" w:rsidRPr="00BC1458">
        <w:rPr>
          <w:lang w:val="bg-BG"/>
        </w:rPr>
        <w:t>Надписите н</w:t>
      </w:r>
      <w:r w:rsidR="00C416A9">
        <w:rPr>
          <w:lang w:val="bg-BG"/>
        </w:rPr>
        <w:t>а фигурите се поставят под тях.</w:t>
      </w:r>
      <w:r w:rsidR="00C416A9" w:rsidRPr="00C416A9">
        <w:rPr>
          <w:lang w:val="bg-BG"/>
        </w:rPr>
        <w:t xml:space="preserve"> </w:t>
      </w:r>
      <w:r w:rsidR="00C416A9">
        <w:rPr>
          <w:lang w:val="bg-BG"/>
        </w:rPr>
        <w:t>О</w:t>
      </w:r>
      <w:r w:rsidR="00C416A9" w:rsidRPr="00BC1458">
        <w:rPr>
          <w:lang w:val="bg-BG"/>
        </w:rPr>
        <w:t>бекти</w:t>
      </w:r>
      <w:r w:rsidR="00C416A9">
        <w:rPr>
          <w:lang w:val="bg-BG"/>
        </w:rPr>
        <w:t>те</w:t>
      </w:r>
      <w:r w:rsidR="00C416A9" w:rsidRPr="00BC1458">
        <w:rPr>
          <w:lang w:val="bg-BG"/>
        </w:rPr>
        <w:t xml:space="preserve"> и техните надписи се центрират.</w:t>
      </w:r>
    </w:p>
    <w:p w:rsidR="00B776CD" w:rsidRPr="00BC1458" w:rsidRDefault="00DF0936" w:rsidP="0055653C">
      <w:pPr>
        <w:pStyle w:val="VSUMain"/>
        <w:tabs>
          <w:tab w:val="left" w:pos="3744"/>
          <w:tab w:val="left" w:pos="6297"/>
        </w:tabs>
        <w:spacing w:after="23"/>
        <w:ind w:left="108" w:firstLine="652"/>
        <w:jc w:val="center"/>
        <w:rPr>
          <w:lang w:val="bg-BG"/>
        </w:rPr>
      </w:pPr>
      <w:r>
        <w:rPr>
          <w:noProof/>
          <w:color w:val="000000"/>
          <w:lang w:val="en-US"/>
        </w:rPr>
        <w:drawing>
          <wp:inline distT="0" distB="0" distL="0" distR="0" wp14:anchorId="4333AB36" wp14:editId="303C012C">
            <wp:extent cx="2311245" cy="1654896"/>
            <wp:effectExtent l="1905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a:stretch>
                      <a:fillRect/>
                    </a:stretch>
                  </pic:blipFill>
                  <pic:spPr>
                    <a:xfrm>
                      <a:off x="0" y="0"/>
                      <a:ext cx="2310186" cy="1654138"/>
                    </a:xfrm>
                    <a:prstGeom prst="rect">
                      <a:avLst/>
                    </a:prstGeom>
                    <a:ln/>
                  </pic:spPr>
                </pic:pic>
              </a:graphicData>
            </a:graphic>
          </wp:inline>
        </w:drawing>
      </w:r>
    </w:p>
    <w:p w:rsidR="001D2A25" w:rsidRPr="00BC1458" w:rsidRDefault="001D2A25" w:rsidP="0055653C">
      <w:pPr>
        <w:pStyle w:val="VSUMain"/>
        <w:spacing w:after="23"/>
        <w:ind w:firstLine="652"/>
        <w:rPr>
          <w:lang w:val="bg-BG"/>
        </w:rPr>
      </w:pPr>
    </w:p>
    <w:p w:rsidR="001D2A25" w:rsidRPr="00BC1458" w:rsidRDefault="001D2A25" w:rsidP="0055653C">
      <w:pPr>
        <w:pStyle w:val="VSUFig"/>
        <w:spacing w:after="23"/>
        <w:ind w:firstLine="652"/>
        <w:rPr>
          <w:rFonts w:cs="Times New Roman"/>
          <w:szCs w:val="24"/>
          <w:lang w:val="bg-BG"/>
        </w:rPr>
      </w:pPr>
      <w:r w:rsidRPr="00BC1458">
        <w:rPr>
          <w:rFonts w:cs="Times New Roman"/>
          <w:b/>
          <w:szCs w:val="24"/>
          <w:lang w:val="bg-BG"/>
        </w:rPr>
        <w:t>Фиг. 1</w:t>
      </w:r>
      <w:r w:rsidR="00B776CD">
        <w:rPr>
          <w:rFonts w:cs="Times New Roman"/>
          <w:szCs w:val="24"/>
          <w:lang w:val="bg-BG"/>
        </w:rPr>
        <w:t>. Заглавие.</w:t>
      </w:r>
    </w:p>
    <w:p w:rsidR="001D2A25" w:rsidRPr="00BC1458" w:rsidRDefault="001D2A25" w:rsidP="0055653C">
      <w:pPr>
        <w:pStyle w:val="VSUMain"/>
        <w:spacing w:after="23"/>
        <w:ind w:firstLine="652"/>
        <w:rPr>
          <w:lang w:val="bg-BG"/>
        </w:rPr>
      </w:pPr>
    </w:p>
    <w:p w:rsidR="001D2A25" w:rsidRPr="008667D9" w:rsidRDefault="00B776CD" w:rsidP="0055653C">
      <w:pPr>
        <w:pStyle w:val="VSUMain"/>
        <w:spacing w:after="23"/>
        <w:ind w:firstLine="652"/>
        <w:rPr>
          <w:lang w:val="bg-BG"/>
        </w:rPr>
      </w:pPr>
      <w:r w:rsidRPr="008667D9">
        <w:rPr>
          <w:lang w:val="bg-BG"/>
        </w:rPr>
        <w:t>Заглавията на таблиците се разполагат отгоре. Текстът в тях</w:t>
      </w:r>
      <w:r w:rsidR="00E62B03" w:rsidRPr="008667D9">
        <w:rPr>
          <w:lang w:val="bg-BG"/>
        </w:rPr>
        <w:t xml:space="preserve"> трябва да бъде 10</w:t>
      </w:r>
      <w:r w:rsidRPr="008667D9">
        <w:rPr>
          <w:lang w:val="bg-BG"/>
        </w:rPr>
        <w:t xml:space="preserve"> pt, Times New Roman.</w:t>
      </w:r>
      <w:r w:rsidR="000B18E5" w:rsidRPr="008667D9">
        <w:rPr>
          <w:lang w:val="bg-BG"/>
        </w:rPr>
        <w:t xml:space="preserve"> Названието на всяка колона започва с главна буква (Вижте примера).</w:t>
      </w:r>
    </w:p>
    <w:p w:rsidR="00B776CD" w:rsidRPr="008667D9" w:rsidRDefault="00B776CD" w:rsidP="0055653C">
      <w:pPr>
        <w:pStyle w:val="VSUMain"/>
        <w:spacing w:after="23"/>
        <w:ind w:firstLine="652"/>
        <w:rPr>
          <w:lang w:val="bg-BG"/>
        </w:rPr>
      </w:pPr>
    </w:p>
    <w:p w:rsidR="001D2A25" w:rsidRPr="008667D9" w:rsidRDefault="001D2A25" w:rsidP="0055653C">
      <w:pPr>
        <w:tabs>
          <w:tab w:val="left" w:pos="540"/>
        </w:tabs>
        <w:spacing w:after="23"/>
        <w:ind w:firstLine="652"/>
        <w:jc w:val="center"/>
        <w:rPr>
          <w:lang w:val="bg-BG"/>
        </w:rPr>
      </w:pPr>
      <w:r w:rsidRPr="008667D9">
        <w:rPr>
          <w:b/>
          <w:lang w:val="bg-BG"/>
        </w:rPr>
        <w:t>Таблица 1.</w:t>
      </w:r>
      <w:r w:rsidRPr="008667D9">
        <w:rPr>
          <w:lang w:val="bg-BG"/>
        </w:rPr>
        <w:t xml:space="preserve"> </w:t>
      </w:r>
      <w:r w:rsidR="00B776CD" w:rsidRPr="008667D9">
        <w:rPr>
          <w:lang w:val="bg-BG"/>
        </w:rPr>
        <w:t xml:space="preserve">Заглавие </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3259"/>
        <w:gridCol w:w="3260"/>
      </w:tblGrid>
      <w:tr w:rsidR="00C93502" w:rsidTr="00C93502">
        <w:tc>
          <w:tcPr>
            <w:tcW w:w="3259" w:type="dxa"/>
          </w:tcPr>
          <w:p w:rsidR="00C93502" w:rsidRDefault="00C93502" w:rsidP="00C93502">
            <w:pPr>
              <w:numPr>
                <w:ilvl w:val="0"/>
                <w:numId w:val="8"/>
              </w:numPr>
              <w:tabs>
                <w:tab w:val="left" w:pos="720"/>
              </w:tabs>
              <w:ind w:firstLine="652"/>
              <w:rPr>
                <w:b/>
                <w:sz w:val="20"/>
                <w:szCs w:val="20"/>
              </w:rPr>
            </w:pPr>
            <w:r>
              <w:rPr>
                <w:b/>
                <w:sz w:val="20"/>
                <w:szCs w:val="20"/>
              </w:rPr>
              <w:t>SOCIETY</w:t>
            </w:r>
          </w:p>
          <w:p w:rsidR="00C93502" w:rsidRDefault="00C93502" w:rsidP="0092797A">
            <w:pPr>
              <w:tabs>
                <w:tab w:val="left" w:pos="720"/>
              </w:tabs>
              <w:ind w:firstLine="652"/>
              <w:rPr>
                <w:b/>
                <w:sz w:val="20"/>
                <w:szCs w:val="20"/>
              </w:rPr>
            </w:pPr>
          </w:p>
        </w:tc>
        <w:tc>
          <w:tcPr>
            <w:tcW w:w="3259" w:type="dxa"/>
          </w:tcPr>
          <w:p w:rsidR="00C93502" w:rsidRDefault="00C93502" w:rsidP="0092797A">
            <w:pPr>
              <w:ind w:firstLine="652"/>
              <w:rPr>
                <w:sz w:val="20"/>
                <w:szCs w:val="20"/>
              </w:rPr>
            </w:pPr>
            <w:r>
              <w:rPr>
                <w:b/>
                <w:sz w:val="20"/>
                <w:szCs w:val="20"/>
              </w:rPr>
              <w:t>2.  EDUCATION</w:t>
            </w:r>
          </w:p>
          <w:p w:rsidR="00C93502" w:rsidRDefault="00C93502" w:rsidP="0092797A">
            <w:pPr>
              <w:tabs>
                <w:tab w:val="left" w:pos="720"/>
              </w:tabs>
              <w:ind w:firstLine="652"/>
              <w:rPr>
                <w:b/>
                <w:sz w:val="20"/>
                <w:szCs w:val="20"/>
              </w:rPr>
            </w:pPr>
          </w:p>
        </w:tc>
        <w:tc>
          <w:tcPr>
            <w:tcW w:w="3260" w:type="dxa"/>
          </w:tcPr>
          <w:p w:rsidR="00C93502" w:rsidRDefault="00C93502" w:rsidP="0092797A">
            <w:pPr>
              <w:pBdr>
                <w:top w:val="nil"/>
                <w:left w:val="nil"/>
                <w:bottom w:val="nil"/>
                <w:right w:val="nil"/>
                <w:between w:val="nil"/>
              </w:pBdr>
              <w:tabs>
                <w:tab w:val="left" w:pos="252"/>
              </w:tabs>
              <w:spacing w:after="200"/>
              <w:ind w:firstLine="652"/>
              <w:rPr>
                <w:b/>
                <w:color w:val="000000"/>
                <w:sz w:val="20"/>
                <w:szCs w:val="20"/>
              </w:rPr>
            </w:pPr>
            <w:r>
              <w:rPr>
                <w:b/>
                <w:color w:val="000000"/>
                <w:sz w:val="20"/>
                <w:szCs w:val="20"/>
              </w:rPr>
              <w:t>3. PEOPLE</w:t>
            </w:r>
          </w:p>
          <w:p w:rsidR="00C93502" w:rsidRDefault="00C93502" w:rsidP="0092797A">
            <w:pPr>
              <w:tabs>
                <w:tab w:val="left" w:pos="720"/>
              </w:tabs>
              <w:ind w:firstLine="652"/>
              <w:rPr>
                <w:b/>
                <w:sz w:val="20"/>
                <w:szCs w:val="20"/>
              </w:rPr>
            </w:pPr>
          </w:p>
        </w:tc>
      </w:tr>
      <w:tr w:rsidR="00C93502" w:rsidTr="00C93502">
        <w:tc>
          <w:tcPr>
            <w:tcW w:w="3259" w:type="dxa"/>
          </w:tcPr>
          <w:p w:rsidR="00C93502" w:rsidRDefault="00C93502" w:rsidP="00C93502">
            <w:pPr>
              <w:numPr>
                <w:ilvl w:val="1"/>
                <w:numId w:val="9"/>
              </w:numPr>
              <w:pBdr>
                <w:top w:val="nil"/>
                <w:left w:val="nil"/>
                <w:bottom w:val="nil"/>
                <w:right w:val="nil"/>
                <w:between w:val="nil"/>
              </w:pBdr>
              <w:rPr>
                <w:color w:val="000000"/>
                <w:sz w:val="20"/>
                <w:szCs w:val="20"/>
              </w:rPr>
            </w:pPr>
            <w:r>
              <w:rPr>
                <w:color w:val="000000"/>
                <w:sz w:val="20"/>
                <w:szCs w:val="20"/>
              </w:rPr>
              <w:t>Religious extremism</w:t>
            </w:r>
          </w:p>
          <w:p w:rsidR="00C93502" w:rsidRDefault="00C93502" w:rsidP="00C93502">
            <w:pPr>
              <w:numPr>
                <w:ilvl w:val="1"/>
                <w:numId w:val="9"/>
              </w:numPr>
              <w:pBdr>
                <w:top w:val="nil"/>
                <w:left w:val="nil"/>
                <w:bottom w:val="nil"/>
                <w:right w:val="nil"/>
                <w:between w:val="nil"/>
              </w:pBdr>
              <w:spacing w:after="200"/>
              <w:rPr>
                <w:color w:val="000000"/>
                <w:sz w:val="20"/>
                <w:szCs w:val="20"/>
              </w:rPr>
            </w:pPr>
            <w:r>
              <w:rPr>
                <w:color w:val="000000"/>
                <w:sz w:val="20"/>
                <w:szCs w:val="20"/>
              </w:rPr>
              <w:t>Social unrest</w:t>
            </w:r>
          </w:p>
          <w:p w:rsidR="00C93502" w:rsidRDefault="00C93502" w:rsidP="0092797A">
            <w:pPr>
              <w:ind w:firstLine="652"/>
              <w:rPr>
                <w:sz w:val="20"/>
                <w:szCs w:val="20"/>
              </w:rPr>
            </w:pPr>
            <w:r>
              <w:rPr>
                <w:sz w:val="20"/>
                <w:szCs w:val="20"/>
              </w:rPr>
              <w:t>1.3. Poverty and charity</w:t>
            </w:r>
          </w:p>
          <w:p w:rsidR="00C93502" w:rsidRDefault="00C93502" w:rsidP="0092797A">
            <w:pPr>
              <w:ind w:firstLine="652"/>
              <w:rPr>
                <w:sz w:val="20"/>
                <w:szCs w:val="20"/>
              </w:rPr>
            </w:pPr>
            <w:r>
              <w:rPr>
                <w:sz w:val="20"/>
                <w:szCs w:val="20"/>
              </w:rPr>
              <w:t>1.4. Demographical changes</w:t>
            </w:r>
          </w:p>
          <w:p w:rsidR="00C93502" w:rsidRDefault="00C93502" w:rsidP="0092797A">
            <w:pPr>
              <w:ind w:firstLine="652"/>
              <w:rPr>
                <w:sz w:val="20"/>
                <w:szCs w:val="20"/>
              </w:rPr>
            </w:pPr>
            <w:r>
              <w:rPr>
                <w:sz w:val="20"/>
                <w:szCs w:val="20"/>
              </w:rPr>
              <w:t>1.5. Emotional and social intelligence</w:t>
            </w:r>
          </w:p>
          <w:p w:rsidR="00C93502" w:rsidRDefault="00C93502" w:rsidP="0092797A">
            <w:pPr>
              <w:ind w:firstLine="652"/>
              <w:rPr>
                <w:sz w:val="20"/>
                <w:szCs w:val="20"/>
              </w:rPr>
            </w:pPr>
            <w:r>
              <w:rPr>
                <w:sz w:val="20"/>
                <w:szCs w:val="20"/>
              </w:rPr>
              <w:t>1.6. Mass migration</w:t>
            </w:r>
          </w:p>
          <w:p w:rsidR="00C93502" w:rsidRDefault="00C93502" w:rsidP="0092797A">
            <w:pPr>
              <w:ind w:firstLine="652"/>
              <w:rPr>
                <w:sz w:val="20"/>
                <w:szCs w:val="20"/>
              </w:rPr>
            </w:pPr>
            <w:r>
              <w:rPr>
                <w:sz w:val="20"/>
                <w:szCs w:val="20"/>
              </w:rPr>
              <w:t>1.7. Social alienation</w:t>
            </w:r>
          </w:p>
          <w:p w:rsidR="00C93502" w:rsidRDefault="00C93502" w:rsidP="0092797A">
            <w:pPr>
              <w:ind w:firstLine="652"/>
              <w:rPr>
                <w:sz w:val="20"/>
                <w:szCs w:val="20"/>
              </w:rPr>
            </w:pPr>
            <w:r>
              <w:rPr>
                <w:sz w:val="20"/>
                <w:szCs w:val="20"/>
              </w:rPr>
              <w:t>1.8. Xenophobia</w:t>
            </w:r>
          </w:p>
          <w:p w:rsidR="00C93502" w:rsidRDefault="00C93502" w:rsidP="0092797A">
            <w:pPr>
              <w:tabs>
                <w:tab w:val="left" w:pos="720"/>
              </w:tabs>
              <w:ind w:firstLine="652"/>
              <w:rPr>
                <w:b/>
                <w:sz w:val="20"/>
                <w:szCs w:val="20"/>
              </w:rPr>
            </w:pPr>
          </w:p>
        </w:tc>
        <w:tc>
          <w:tcPr>
            <w:tcW w:w="3259" w:type="dxa"/>
          </w:tcPr>
          <w:p w:rsidR="00C93502" w:rsidRDefault="00C93502" w:rsidP="0092797A">
            <w:pPr>
              <w:ind w:firstLine="652"/>
              <w:rPr>
                <w:sz w:val="20"/>
                <w:szCs w:val="20"/>
              </w:rPr>
            </w:pPr>
            <w:r>
              <w:rPr>
                <w:sz w:val="20"/>
                <w:szCs w:val="20"/>
              </w:rPr>
              <w:t>2.1. Alternative education</w:t>
            </w:r>
          </w:p>
          <w:p w:rsidR="00C93502" w:rsidRDefault="00C93502" w:rsidP="0092797A">
            <w:pPr>
              <w:ind w:firstLine="652"/>
              <w:rPr>
                <w:sz w:val="20"/>
                <w:szCs w:val="20"/>
              </w:rPr>
            </w:pPr>
            <w:r>
              <w:rPr>
                <w:sz w:val="20"/>
                <w:szCs w:val="20"/>
              </w:rPr>
              <w:t>2.2.</w:t>
            </w:r>
            <w:r>
              <w:rPr>
                <w:b/>
                <w:sz w:val="20"/>
                <w:szCs w:val="20"/>
              </w:rPr>
              <w:t xml:space="preserve"> </w:t>
            </w:r>
            <w:r>
              <w:rPr>
                <w:sz w:val="20"/>
                <w:szCs w:val="20"/>
              </w:rPr>
              <w:t>Student mobility</w:t>
            </w:r>
          </w:p>
          <w:p w:rsidR="00C93502" w:rsidRDefault="00C93502" w:rsidP="0092797A">
            <w:pPr>
              <w:ind w:firstLine="652"/>
              <w:rPr>
                <w:sz w:val="20"/>
                <w:szCs w:val="20"/>
              </w:rPr>
            </w:pPr>
            <w:r>
              <w:rPr>
                <w:sz w:val="20"/>
                <w:szCs w:val="20"/>
              </w:rPr>
              <w:t>2.3. Educational reforms</w:t>
            </w:r>
          </w:p>
          <w:p w:rsidR="00C93502" w:rsidRDefault="00C93502" w:rsidP="0092797A">
            <w:pPr>
              <w:ind w:firstLine="652"/>
              <w:rPr>
                <w:sz w:val="20"/>
                <w:szCs w:val="20"/>
              </w:rPr>
            </w:pPr>
            <w:r>
              <w:rPr>
                <w:sz w:val="20"/>
                <w:szCs w:val="20"/>
              </w:rPr>
              <w:t>2.4. Efficiency of schools and academies</w:t>
            </w:r>
          </w:p>
          <w:p w:rsidR="00C93502" w:rsidRDefault="00C93502" w:rsidP="0092797A">
            <w:pPr>
              <w:ind w:firstLine="652"/>
              <w:rPr>
                <w:sz w:val="20"/>
                <w:szCs w:val="20"/>
              </w:rPr>
            </w:pPr>
            <w:r>
              <w:rPr>
                <w:sz w:val="20"/>
                <w:szCs w:val="20"/>
              </w:rPr>
              <w:t>2.5. Learning by doing</w:t>
            </w:r>
          </w:p>
          <w:p w:rsidR="00C93502" w:rsidRDefault="00C93502" w:rsidP="0092797A">
            <w:pPr>
              <w:ind w:firstLine="652"/>
              <w:rPr>
                <w:sz w:val="20"/>
                <w:szCs w:val="20"/>
              </w:rPr>
            </w:pPr>
            <w:r>
              <w:rPr>
                <w:sz w:val="20"/>
                <w:szCs w:val="20"/>
              </w:rPr>
              <w:t>2.6. Life learning</w:t>
            </w:r>
          </w:p>
          <w:p w:rsidR="00C93502" w:rsidRDefault="00C93502" w:rsidP="0092797A">
            <w:pPr>
              <w:ind w:firstLine="652"/>
              <w:rPr>
                <w:sz w:val="20"/>
                <w:szCs w:val="20"/>
              </w:rPr>
            </w:pPr>
            <w:r>
              <w:rPr>
                <w:sz w:val="20"/>
                <w:szCs w:val="20"/>
              </w:rPr>
              <w:t>2.7. E-learning</w:t>
            </w:r>
          </w:p>
          <w:p w:rsidR="00C93502" w:rsidRDefault="00C93502" w:rsidP="0092797A">
            <w:pPr>
              <w:ind w:firstLine="652"/>
              <w:rPr>
                <w:sz w:val="20"/>
                <w:szCs w:val="20"/>
              </w:rPr>
            </w:pPr>
            <w:r>
              <w:rPr>
                <w:sz w:val="20"/>
                <w:szCs w:val="20"/>
              </w:rPr>
              <w:t>2.8. Discrimination issues in education</w:t>
            </w:r>
          </w:p>
          <w:p w:rsidR="00C93502" w:rsidRDefault="00C93502" w:rsidP="0092797A">
            <w:pPr>
              <w:tabs>
                <w:tab w:val="left" w:pos="720"/>
              </w:tabs>
              <w:ind w:firstLine="652"/>
              <w:rPr>
                <w:b/>
                <w:sz w:val="20"/>
                <w:szCs w:val="20"/>
              </w:rPr>
            </w:pPr>
            <w:r>
              <w:rPr>
                <w:sz w:val="20"/>
                <w:szCs w:val="20"/>
              </w:rPr>
              <w:t>2.9. Quality management of education</w:t>
            </w:r>
          </w:p>
        </w:tc>
        <w:tc>
          <w:tcPr>
            <w:tcW w:w="3260" w:type="dxa"/>
          </w:tcPr>
          <w:p w:rsidR="00C93502" w:rsidRDefault="00C93502" w:rsidP="0092797A">
            <w:pPr>
              <w:ind w:firstLine="652"/>
              <w:rPr>
                <w:sz w:val="20"/>
                <w:szCs w:val="20"/>
              </w:rPr>
            </w:pPr>
            <w:r>
              <w:rPr>
                <w:sz w:val="20"/>
                <w:szCs w:val="20"/>
              </w:rPr>
              <w:t>3.1. New types of relationships and interactions</w:t>
            </w:r>
          </w:p>
          <w:p w:rsidR="00C93502" w:rsidRDefault="00C93502" w:rsidP="0092797A">
            <w:pPr>
              <w:ind w:firstLine="652"/>
              <w:rPr>
                <w:sz w:val="20"/>
                <w:szCs w:val="20"/>
              </w:rPr>
            </w:pPr>
            <w:r>
              <w:rPr>
                <w:sz w:val="20"/>
                <w:szCs w:val="20"/>
              </w:rPr>
              <w:t>3.2. Emotional intelligence</w:t>
            </w:r>
          </w:p>
          <w:p w:rsidR="00C93502" w:rsidRDefault="00C93502" w:rsidP="0092797A">
            <w:pPr>
              <w:ind w:firstLine="652"/>
              <w:rPr>
                <w:sz w:val="20"/>
                <w:szCs w:val="20"/>
              </w:rPr>
            </w:pPr>
            <w:r>
              <w:rPr>
                <w:sz w:val="20"/>
                <w:szCs w:val="20"/>
              </w:rPr>
              <w:t>3.3. Leadership styles</w:t>
            </w:r>
          </w:p>
          <w:p w:rsidR="00C93502" w:rsidRDefault="00C93502" w:rsidP="0092797A">
            <w:pPr>
              <w:ind w:firstLine="652"/>
              <w:rPr>
                <w:sz w:val="20"/>
                <w:szCs w:val="20"/>
              </w:rPr>
            </w:pPr>
            <w:r>
              <w:rPr>
                <w:sz w:val="20"/>
                <w:szCs w:val="20"/>
              </w:rPr>
              <w:t>3.4. Performance management (career management)</w:t>
            </w:r>
          </w:p>
          <w:p w:rsidR="00C93502" w:rsidRDefault="00C93502" w:rsidP="0092797A">
            <w:pPr>
              <w:ind w:firstLine="652"/>
              <w:rPr>
                <w:sz w:val="20"/>
                <w:szCs w:val="20"/>
              </w:rPr>
            </w:pPr>
            <w:r>
              <w:rPr>
                <w:sz w:val="20"/>
                <w:szCs w:val="20"/>
              </w:rPr>
              <w:t>3.5. Meritocracy</w:t>
            </w:r>
          </w:p>
          <w:p w:rsidR="00C93502" w:rsidRDefault="00C93502" w:rsidP="0092797A">
            <w:pPr>
              <w:ind w:firstLine="652"/>
              <w:rPr>
                <w:sz w:val="20"/>
                <w:szCs w:val="20"/>
              </w:rPr>
            </w:pPr>
            <w:r>
              <w:rPr>
                <w:sz w:val="20"/>
                <w:szCs w:val="20"/>
              </w:rPr>
              <w:t>3.6. Privacy</w:t>
            </w:r>
          </w:p>
          <w:p w:rsidR="00C93502" w:rsidRDefault="00C93502" w:rsidP="0092797A">
            <w:pPr>
              <w:ind w:firstLine="652"/>
              <w:rPr>
                <w:sz w:val="20"/>
                <w:szCs w:val="20"/>
              </w:rPr>
            </w:pPr>
            <w:r>
              <w:rPr>
                <w:sz w:val="20"/>
                <w:szCs w:val="20"/>
              </w:rPr>
              <w:t>3.7. Enhanced humans</w:t>
            </w:r>
          </w:p>
          <w:p w:rsidR="00C93502" w:rsidRDefault="00C93502" w:rsidP="0092797A">
            <w:pPr>
              <w:tabs>
                <w:tab w:val="left" w:pos="720"/>
              </w:tabs>
              <w:ind w:firstLine="652"/>
              <w:rPr>
                <w:b/>
                <w:sz w:val="20"/>
                <w:szCs w:val="20"/>
              </w:rPr>
            </w:pPr>
          </w:p>
        </w:tc>
      </w:tr>
    </w:tbl>
    <w:p w:rsidR="001D2A25" w:rsidRPr="008667D9" w:rsidRDefault="001D2A25" w:rsidP="0055653C">
      <w:pPr>
        <w:pStyle w:val="VSUMain"/>
        <w:spacing w:after="23"/>
        <w:ind w:firstLine="652"/>
        <w:rPr>
          <w:lang w:val="bg-BG"/>
        </w:rPr>
      </w:pPr>
    </w:p>
    <w:p w:rsidR="001D2A25" w:rsidRPr="008667D9" w:rsidRDefault="001D2A25" w:rsidP="0055653C">
      <w:pPr>
        <w:pStyle w:val="VSUMain"/>
        <w:spacing w:after="23"/>
        <w:ind w:firstLine="652"/>
        <w:rPr>
          <w:lang w:val="bg-BG"/>
        </w:rPr>
      </w:pPr>
    </w:p>
    <w:p w:rsidR="007133CE" w:rsidRPr="008667D9" w:rsidRDefault="00FC0BF3" w:rsidP="0055653C">
      <w:pPr>
        <w:spacing w:after="23"/>
        <w:ind w:firstLine="652"/>
        <w:jc w:val="center"/>
        <w:rPr>
          <w:b/>
          <w:bCs/>
          <w:lang w:val="bg-BG"/>
        </w:rPr>
      </w:pPr>
      <w:r w:rsidRPr="008667D9">
        <w:rPr>
          <w:b/>
          <w:bCs/>
          <w:lang w:val="bg-BG"/>
        </w:rPr>
        <w:t xml:space="preserve">ЦИТИРАНИ </w:t>
      </w:r>
      <w:r w:rsidR="007133CE" w:rsidRPr="008667D9">
        <w:rPr>
          <w:b/>
          <w:bCs/>
          <w:lang w:val="bg-BG"/>
        </w:rPr>
        <w:t>ИЗТОЧНИЦИ</w:t>
      </w:r>
    </w:p>
    <w:p w:rsidR="00E62B03" w:rsidRPr="008667D9" w:rsidRDefault="00E62B03" w:rsidP="0055653C">
      <w:pPr>
        <w:spacing w:after="23"/>
        <w:ind w:firstLine="652"/>
        <w:jc w:val="both"/>
        <w:rPr>
          <w:bCs/>
          <w:sz w:val="20"/>
          <w:szCs w:val="20"/>
          <w:lang w:val="bg-BG"/>
        </w:rPr>
      </w:pPr>
      <w:r w:rsidRPr="008667D9">
        <w:rPr>
          <w:bCs/>
          <w:sz w:val="20"/>
          <w:szCs w:val="20"/>
          <w:lang w:val="en-US"/>
        </w:rPr>
        <w:t>Font</w:t>
      </w:r>
      <w:r w:rsidRPr="008667D9">
        <w:rPr>
          <w:bCs/>
          <w:sz w:val="20"/>
          <w:szCs w:val="20"/>
          <w:lang w:val="bg-BG"/>
        </w:rPr>
        <w:t xml:space="preserve">: </w:t>
      </w:r>
      <w:r w:rsidRPr="008667D9">
        <w:rPr>
          <w:bCs/>
          <w:sz w:val="20"/>
          <w:szCs w:val="20"/>
          <w:lang w:val="en-US"/>
        </w:rPr>
        <w:t>Times</w:t>
      </w:r>
      <w:r w:rsidRPr="008667D9">
        <w:rPr>
          <w:bCs/>
          <w:sz w:val="20"/>
          <w:szCs w:val="20"/>
          <w:lang w:val="bg-BG"/>
        </w:rPr>
        <w:t xml:space="preserve"> </w:t>
      </w:r>
      <w:r w:rsidRPr="008667D9">
        <w:rPr>
          <w:bCs/>
          <w:sz w:val="20"/>
          <w:szCs w:val="20"/>
          <w:lang w:val="en-US"/>
        </w:rPr>
        <w:t>New</w:t>
      </w:r>
      <w:r w:rsidRPr="008667D9">
        <w:rPr>
          <w:bCs/>
          <w:sz w:val="20"/>
          <w:szCs w:val="20"/>
          <w:lang w:val="bg-BG"/>
        </w:rPr>
        <w:t xml:space="preserve"> </w:t>
      </w:r>
      <w:r w:rsidRPr="008667D9">
        <w:rPr>
          <w:bCs/>
          <w:sz w:val="20"/>
          <w:szCs w:val="20"/>
          <w:lang w:val="en-US"/>
        </w:rPr>
        <w:t>Roman</w:t>
      </w:r>
      <w:r w:rsidRPr="008667D9">
        <w:rPr>
          <w:bCs/>
          <w:sz w:val="20"/>
          <w:szCs w:val="20"/>
          <w:lang w:val="bg-BG"/>
        </w:rPr>
        <w:t xml:space="preserve">, </w:t>
      </w:r>
      <w:r w:rsidRPr="008667D9">
        <w:rPr>
          <w:bCs/>
          <w:sz w:val="20"/>
          <w:szCs w:val="20"/>
          <w:lang w:val="en-US"/>
        </w:rPr>
        <w:t>Size</w:t>
      </w:r>
      <w:r w:rsidRPr="008667D9">
        <w:rPr>
          <w:bCs/>
          <w:sz w:val="20"/>
          <w:szCs w:val="20"/>
          <w:lang w:val="bg-BG"/>
        </w:rPr>
        <w:t xml:space="preserve">:10, </w:t>
      </w:r>
      <w:r w:rsidRPr="008667D9">
        <w:rPr>
          <w:bCs/>
          <w:sz w:val="20"/>
          <w:szCs w:val="20"/>
          <w:lang w:val="en-US"/>
        </w:rPr>
        <w:t>Alignment</w:t>
      </w:r>
      <w:r w:rsidRPr="008667D9">
        <w:rPr>
          <w:bCs/>
          <w:sz w:val="20"/>
          <w:szCs w:val="20"/>
          <w:lang w:val="bg-BG"/>
        </w:rPr>
        <w:t xml:space="preserve">: </w:t>
      </w:r>
      <w:r w:rsidRPr="008667D9">
        <w:rPr>
          <w:bCs/>
          <w:sz w:val="20"/>
          <w:szCs w:val="20"/>
          <w:lang w:val="en-US"/>
        </w:rPr>
        <w:t>Justified</w:t>
      </w:r>
      <w:r w:rsidRPr="008667D9">
        <w:rPr>
          <w:bCs/>
          <w:sz w:val="20"/>
          <w:szCs w:val="20"/>
          <w:lang w:val="bg-BG"/>
        </w:rPr>
        <w:t>;</w:t>
      </w:r>
      <w:r w:rsidR="00806E49" w:rsidRPr="008667D9">
        <w:rPr>
          <w:spacing w:val="4"/>
          <w:sz w:val="20"/>
          <w:szCs w:val="20"/>
          <w:lang w:val="bg-BG"/>
        </w:rPr>
        <w:t xml:space="preserve"> Библиографията </w:t>
      </w:r>
      <w:r w:rsidR="007133CE" w:rsidRPr="008667D9">
        <w:rPr>
          <w:spacing w:val="4"/>
          <w:sz w:val="20"/>
          <w:szCs w:val="20"/>
          <w:lang w:val="bg-BG"/>
        </w:rPr>
        <w:t xml:space="preserve">и източниците </w:t>
      </w:r>
      <w:r w:rsidR="00806E49" w:rsidRPr="008667D9">
        <w:rPr>
          <w:spacing w:val="4"/>
          <w:sz w:val="20"/>
          <w:szCs w:val="20"/>
          <w:lang w:val="bg-BG"/>
        </w:rPr>
        <w:t>да бъде разположена в края на доклад</w:t>
      </w:r>
      <w:r w:rsidR="007133CE" w:rsidRPr="008667D9">
        <w:rPr>
          <w:spacing w:val="4"/>
          <w:sz w:val="20"/>
          <w:szCs w:val="20"/>
          <w:lang w:val="bg-BG"/>
        </w:rPr>
        <w:t>а и да са</w:t>
      </w:r>
      <w:r w:rsidR="00806E49" w:rsidRPr="008667D9">
        <w:rPr>
          <w:spacing w:val="4"/>
          <w:sz w:val="20"/>
          <w:szCs w:val="20"/>
          <w:lang w:val="bg-BG"/>
        </w:rPr>
        <w:t xml:space="preserve"> оформен</w:t>
      </w:r>
      <w:r w:rsidR="007133CE" w:rsidRPr="008667D9">
        <w:rPr>
          <w:spacing w:val="4"/>
          <w:sz w:val="20"/>
          <w:szCs w:val="20"/>
          <w:lang w:val="bg-BG"/>
        </w:rPr>
        <w:t>и</w:t>
      </w:r>
      <w:r w:rsidR="00806E49" w:rsidRPr="008667D9">
        <w:rPr>
          <w:spacing w:val="4"/>
          <w:sz w:val="20"/>
          <w:szCs w:val="20"/>
          <w:lang w:val="bg-BG"/>
        </w:rPr>
        <w:t xml:space="preserve"> в азбучен ред</w:t>
      </w:r>
      <w:r w:rsidR="007133CE" w:rsidRPr="008667D9">
        <w:rPr>
          <w:spacing w:val="4"/>
          <w:sz w:val="20"/>
          <w:szCs w:val="20"/>
          <w:lang w:val="bg-BG"/>
        </w:rPr>
        <w:t xml:space="preserve"> </w:t>
      </w:r>
      <w:r w:rsidR="00FC0BF3" w:rsidRPr="008667D9">
        <w:rPr>
          <w:spacing w:val="4"/>
          <w:sz w:val="20"/>
          <w:szCs w:val="20"/>
          <w:lang w:val="bg-BG"/>
        </w:rPr>
        <w:t xml:space="preserve">– първо източниците на кирилица и след това на латиница. Използвания модел е съгласно  </w:t>
      </w:r>
      <w:r w:rsidR="00FC0BF3" w:rsidRPr="008667D9">
        <w:rPr>
          <w:b/>
          <w:bCs/>
          <w:color w:val="000000"/>
          <w:kern w:val="36"/>
          <w:sz w:val="20"/>
          <w:szCs w:val="20"/>
          <w:lang w:val="en-US"/>
        </w:rPr>
        <w:t>APA</w:t>
      </w:r>
      <w:r w:rsidR="00FC0BF3" w:rsidRPr="008667D9">
        <w:rPr>
          <w:b/>
          <w:bCs/>
          <w:color w:val="000000"/>
          <w:kern w:val="36"/>
          <w:sz w:val="20"/>
          <w:szCs w:val="20"/>
          <w:lang w:val="bg-BG"/>
        </w:rPr>
        <w:t xml:space="preserve"> </w:t>
      </w:r>
      <w:r w:rsidR="00FC0BF3" w:rsidRPr="008667D9">
        <w:rPr>
          <w:b/>
          <w:bCs/>
          <w:color w:val="000000"/>
          <w:kern w:val="36"/>
          <w:sz w:val="20"/>
          <w:szCs w:val="20"/>
          <w:lang w:val="en-US"/>
        </w:rPr>
        <w:t>Format</w:t>
      </w:r>
      <w:r w:rsidR="00FC0BF3" w:rsidRPr="008667D9">
        <w:rPr>
          <w:b/>
          <w:bCs/>
          <w:color w:val="000000"/>
          <w:kern w:val="36"/>
          <w:sz w:val="20"/>
          <w:szCs w:val="20"/>
          <w:lang w:val="bg-BG"/>
        </w:rPr>
        <w:t xml:space="preserve"> </w:t>
      </w:r>
      <w:r w:rsidR="00FC0BF3" w:rsidRPr="008667D9">
        <w:rPr>
          <w:b/>
          <w:bCs/>
          <w:color w:val="000000"/>
          <w:kern w:val="36"/>
          <w:sz w:val="20"/>
          <w:szCs w:val="20"/>
          <w:lang w:val="en-US"/>
        </w:rPr>
        <w:t>Citation</w:t>
      </w:r>
      <w:r w:rsidR="00FC0BF3" w:rsidRPr="008667D9">
        <w:rPr>
          <w:b/>
          <w:bCs/>
          <w:color w:val="000000"/>
          <w:kern w:val="36"/>
          <w:sz w:val="20"/>
          <w:szCs w:val="20"/>
          <w:lang w:val="bg-BG"/>
        </w:rPr>
        <w:t xml:space="preserve"> </w:t>
      </w:r>
      <w:r w:rsidR="00FC0BF3" w:rsidRPr="008667D9">
        <w:rPr>
          <w:b/>
          <w:bCs/>
          <w:color w:val="000000"/>
          <w:kern w:val="36"/>
          <w:sz w:val="20"/>
          <w:szCs w:val="20"/>
          <w:lang w:val="en-US"/>
        </w:rPr>
        <w:t>Guide</w:t>
      </w:r>
      <w:r w:rsidR="00FC0BF3" w:rsidRPr="008667D9">
        <w:rPr>
          <w:spacing w:val="4"/>
          <w:sz w:val="20"/>
          <w:szCs w:val="20"/>
          <w:lang w:val="bg-BG"/>
        </w:rPr>
        <w:t xml:space="preserve"> (</w:t>
      </w:r>
      <w:hyperlink r:id="rId9" w:history="1">
        <w:r w:rsidR="00FC0BF3" w:rsidRPr="008667D9">
          <w:rPr>
            <w:rStyle w:val="Hyperlink"/>
            <w:sz w:val="20"/>
            <w:szCs w:val="20"/>
          </w:rPr>
          <w:t>https</w:t>
        </w:r>
        <w:r w:rsidR="00FC0BF3" w:rsidRPr="008667D9">
          <w:rPr>
            <w:rStyle w:val="Hyperlink"/>
            <w:sz w:val="20"/>
            <w:szCs w:val="20"/>
            <w:lang w:val="bg-BG"/>
          </w:rPr>
          <w:t>://</w:t>
        </w:r>
        <w:r w:rsidR="00FC0BF3" w:rsidRPr="008667D9">
          <w:rPr>
            <w:rStyle w:val="Hyperlink"/>
            <w:sz w:val="20"/>
            <w:szCs w:val="20"/>
          </w:rPr>
          <w:t>www</w:t>
        </w:r>
        <w:r w:rsidR="00FC0BF3" w:rsidRPr="008667D9">
          <w:rPr>
            <w:rStyle w:val="Hyperlink"/>
            <w:sz w:val="20"/>
            <w:szCs w:val="20"/>
            <w:lang w:val="bg-BG"/>
          </w:rPr>
          <w:t>.</w:t>
        </w:r>
        <w:r w:rsidR="00FC0BF3" w:rsidRPr="008667D9">
          <w:rPr>
            <w:rStyle w:val="Hyperlink"/>
            <w:sz w:val="20"/>
            <w:szCs w:val="20"/>
          </w:rPr>
          <w:t>mendeley</w:t>
        </w:r>
        <w:r w:rsidR="00FC0BF3" w:rsidRPr="008667D9">
          <w:rPr>
            <w:rStyle w:val="Hyperlink"/>
            <w:sz w:val="20"/>
            <w:szCs w:val="20"/>
            <w:lang w:val="bg-BG"/>
          </w:rPr>
          <w:t>.</w:t>
        </w:r>
        <w:r w:rsidR="00FC0BF3" w:rsidRPr="008667D9">
          <w:rPr>
            <w:rStyle w:val="Hyperlink"/>
            <w:sz w:val="20"/>
            <w:szCs w:val="20"/>
          </w:rPr>
          <w:t>com</w:t>
        </w:r>
        <w:r w:rsidR="00FC0BF3" w:rsidRPr="008667D9">
          <w:rPr>
            <w:rStyle w:val="Hyperlink"/>
            <w:sz w:val="20"/>
            <w:szCs w:val="20"/>
            <w:lang w:val="bg-BG"/>
          </w:rPr>
          <w:t>/</w:t>
        </w:r>
        <w:r w:rsidR="00FC0BF3" w:rsidRPr="008667D9">
          <w:rPr>
            <w:rStyle w:val="Hyperlink"/>
            <w:sz w:val="20"/>
            <w:szCs w:val="20"/>
          </w:rPr>
          <w:t>guides</w:t>
        </w:r>
        <w:r w:rsidR="00FC0BF3" w:rsidRPr="008667D9">
          <w:rPr>
            <w:rStyle w:val="Hyperlink"/>
            <w:sz w:val="20"/>
            <w:szCs w:val="20"/>
            <w:lang w:val="bg-BG"/>
          </w:rPr>
          <w:t>/</w:t>
        </w:r>
        <w:r w:rsidR="00FC0BF3" w:rsidRPr="008667D9">
          <w:rPr>
            <w:rStyle w:val="Hyperlink"/>
            <w:sz w:val="20"/>
            <w:szCs w:val="20"/>
          </w:rPr>
          <w:t>apa</w:t>
        </w:r>
        <w:r w:rsidR="00FC0BF3" w:rsidRPr="008667D9">
          <w:rPr>
            <w:rStyle w:val="Hyperlink"/>
            <w:sz w:val="20"/>
            <w:szCs w:val="20"/>
            <w:lang w:val="bg-BG"/>
          </w:rPr>
          <w:t>-</w:t>
        </w:r>
        <w:r w:rsidR="00FC0BF3" w:rsidRPr="008667D9">
          <w:rPr>
            <w:rStyle w:val="Hyperlink"/>
            <w:sz w:val="20"/>
            <w:szCs w:val="20"/>
          </w:rPr>
          <w:t>citation</w:t>
        </w:r>
        <w:r w:rsidR="00FC0BF3" w:rsidRPr="008667D9">
          <w:rPr>
            <w:rStyle w:val="Hyperlink"/>
            <w:sz w:val="20"/>
            <w:szCs w:val="20"/>
            <w:lang w:val="bg-BG"/>
          </w:rPr>
          <w:t>-</w:t>
        </w:r>
        <w:r w:rsidR="00FC0BF3" w:rsidRPr="008667D9">
          <w:rPr>
            <w:rStyle w:val="Hyperlink"/>
            <w:sz w:val="20"/>
            <w:szCs w:val="20"/>
          </w:rPr>
          <w:t>guide</w:t>
        </w:r>
      </w:hyperlink>
      <w:r w:rsidR="00FC0BF3" w:rsidRPr="008667D9">
        <w:rPr>
          <w:sz w:val="20"/>
          <w:szCs w:val="20"/>
          <w:lang w:val="bg-BG"/>
        </w:rPr>
        <w:t>)</w:t>
      </w:r>
    </w:p>
    <w:p w:rsidR="001D2A25" w:rsidRPr="008667D9" w:rsidRDefault="00997883" w:rsidP="00997883">
      <w:pPr>
        <w:pStyle w:val="VSUMain"/>
        <w:spacing w:after="23"/>
        <w:ind w:firstLine="0"/>
        <w:rPr>
          <w:b/>
          <w:lang w:val="bg-BG"/>
        </w:rPr>
      </w:pPr>
      <w:r w:rsidRPr="008667D9">
        <w:rPr>
          <w:b/>
          <w:lang w:val="bg-BG"/>
        </w:rPr>
        <w:t xml:space="preserve">Примери: </w:t>
      </w:r>
    </w:p>
    <w:p w:rsidR="00806E49" w:rsidRPr="008667D9" w:rsidRDefault="00806E49" w:rsidP="00520D88">
      <w:pPr>
        <w:pStyle w:val="04420435043A04410442043F043E0434043B0438043D0438044F"/>
        <w:spacing w:after="23" w:line="276" w:lineRule="auto"/>
        <w:ind w:left="425" w:hanging="425"/>
        <w:rPr>
          <w:sz w:val="20"/>
          <w:szCs w:val="20"/>
        </w:rPr>
      </w:pPr>
      <w:r w:rsidRPr="008667D9">
        <w:rPr>
          <w:sz w:val="20"/>
          <w:szCs w:val="20"/>
        </w:rPr>
        <w:t xml:space="preserve">Пийз, Алън и Барбара Пийз </w:t>
      </w:r>
      <w:r w:rsidR="00520D88" w:rsidRPr="008667D9">
        <w:rPr>
          <w:sz w:val="20"/>
          <w:szCs w:val="20"/>
        </w:rPr>
        <w:t xml:space="preserve">(2012) </w:t>
      </w:r>
      <w:r w:rsidRPr="008667D9">
        <w:rPr>
          <w:i/>
          <w:sz w:val="20"/>
          <w:szCs w:val="20"/>
        </w:rPr>
        <w:t>Езикът на тялото на работното място</w:t>
      </w:r>
      <w:r w:rsidRPr="008667D9">
        <w:rPr>
          <w:sz w:val="20"/>
          <w:szCs w:val="20"/>
        </w:rPr>
        <w:t>, София</w:t>
      </w:r>
      <w:r w:rsidR="00520D88" w:rsidRPr="008667D9">
        <w:rPr>
          <w:sz w:val="20"/>
          <w:szCs w:val="20"/>
        </w:rPr>
        <w:t>.</w:t>
      </w:r>
      <w:r w:rsidRPr="008667D9">
        <w:rPr>
          <w:sz w:val="20"/>
          <w:szCs w:val="20"/>
        </w:rPr>
        <w:t xml:space="preserve"> Сиела</w:t>
      </w:r>
    </w:p>
    <w:p w:rsidR="00806E49" w:rsidRDefault="00806E49" w:rsidP="00520D88">
      <w:pPr>
        <w:pStyle w:val="04420435043A04410442043F043E0434043B0438043D0438044F"/>
        <w:spacing w:after="23" w:line="276" w:lineRule="auto"/>
        <w:ind w:left="425" w:hanging="425"/>
        <w:rPr>
          <w:sz w:val="20"/>
          <w:szCs w:val="20"/>
        </w:rPr>
      </w:pPr>
      <w:r w:rsidRPr="008667D9">
        <w:rPr>
          <w:sz w:val="20"/>
          <w:szCs w:val="20"/>
        </w:rPr>
        <w:t>Руменчев, Величко</w:t>
      </w:r>
      <w:r w:rsidR="00520D88" w:rsidRPr="008667D9">
        <w:rPr>
          <w:sz w:val="20"/>
          <w:szCs w:val="20"/>
        </w:rPr>
        <w:t xml:space="preserve"> (2006)</w:t>
      </w:r>
      <w:r w:rsidRPr="008667D9">
        <w:rPr>
          <w:sz w:val="20"/>
          <w:szCs w:val="20"/>
        </w:rPr>
        <w:t xml:space="preserve"> </w:t>
      </w:r>
      <w:r w:rsidRPr="008667D9">
        <w:rPr>
          <w:i/>
          <w:sz w:val="20"/>
          <w:szCs w:val="20"/>
        </w:rPr>
        <w:t>Невербална комуникация в публичната реч и деловото общуване</w:t>
      </w:r>
      <w:r w:rsidR="00520D88">
        <w:rPr>
          <w:sz w:val="20"/>
          <w:szCs w:val="20"/>
        </w:rPr>
        <w:t>, София: УИ „Св. Кл. Охридски“,</w:t>
      </w:r>
      <w:r>
        <w:rPr>
          <w:sz w:val="20"/>
          <w:szCs w:val="20"/>
        </w:rPr>
        <w:t xml:space="preserve"> С. 135</w:t>
      </w:r>
    </w:p>
    <w:p w:rsidR="009C0C27" w:rsidRDefault="009C0C27" w:rsidP="00520D88">
      <w:pPr>
        <w:pStyle w:val="04420435043A04410442043F043E0434043B0438043D0438044F"/>
        <w:spacing w:after="23" w:line="276" w:lineRule="auto"/>
        <w:ind w:left="425" w:hanging="425"/>
        <w:rPr>
          <w:rFonts w:ascii="Arial" w:hAnsi="Arial" w:cs="Arial"/>
          <w:sz w:val="20"/>
          <w:szCs w:val="20"/>
          <w:shd w:val="clear" w:color="auto" w:fill="FFFFFF"/>
        </w:rPr>
      </w:pPr>
      <w:r w:rsidRPr="009C0C27">
        <w:rPr>
          <w:sz w:val="20"/>
          <w:szCs w:val="20"/>
          <w:shd w:val="clear" w:color="auto" w:fill="FFFFFF"/>
        </w:rPr>
        <w:t>Beck, C. J. A., &amp; Sales, B. D. (2001). </w:t>
      </w:r>
      <w:r w:rsidRPr="009C0C27">
        <w:rPr>
          <w:rStyle w:val="Emphasis"/>
          <w:sz w:val="20"/>
          <w:szCs w:val="20"/>
          <w:shd w:val="clear" w:color="auto" w:fill="FFFFFF"/>
        </w:rPr>
        <w:t>Family mediation: Facts, myths, and future prospects.</w:t>
      </w:r>
      <w:r w:rsidRPr="009C0C27">
        <w:rPr>
          <w:sz w:val="20"/>
          <w:szCs w:val="20"/>
          <w:shd w:val="clear" w:color="auto" w:fill="FFFFFF"/>
        </w:rPr>
        <w:t> Washington, DC: American Psychological Association.</w:t>
      </w:r>
      <w:r w:rsidRPr="009C0C27">
        <w:rPr>
          <w:rFonts w:ascii="Arial" w:hAnsi="Arial" w:cs="Arial"/>
          <w:sz w:val="20"/>
          <w:szCs w:val="20"/>
          <w:shd w:val="clear" w:color="auto" w:fill="FFFFFF"/>
        </w:rPr>
        <w:t xml:space="preserve"> </w:t>
      </w:r>
    </w:p>
    <w:p w:rsidR="009C0C27" w:rsidRPr="009C0C27" w:rsidRDefault="009C0C27" w:rsidP="00520D88">
      <w:pPr>
        <w:pStyle w:val="04420435043A04410442043F043E0434043B0438043D0438044F"/>
        <w:spacing w:after="23" w:line="276" w:lineRule="auto"/>
        <w:ind w:left="425" w:hanging="425"/>
        <w:rPr>
          <w:sz w:val="20"/>
          <w:szCs w:val="20"/>
          <w:shd w:val="clear" w:color="auto" w:fill="FFFFFF"/>
        </w:rPr>
      </w:pPr>
      <w:r w:rsidRPr="009C0C27">
        <w:rPr>
          <w:sz w:val="20"/>
          <w:szCs w:val="20"/>
          <w:shd w:val="clear" w:color="auto" w:fill="FFFFFF"/>
        </w:rPr>
        <w:t>Gibbs, J. T., &amp; Huang, L. N. (Eds.). (1991). </w:t>
      </w:r>
      <w:r w:rsidRPr="009C0C27">
        <w:rPr>
          <w:rStyle w:val="Emphasis"/>
          <w:sz w:val="20"/>
          <w:szCs w:val="20"/>
          <w:shd w:val="clear" w:color="auto" w:fill="FFFFFF"/>
        </w:rPr>
        <w:t>Children of color: Psychological interventions with minority youth.</w:t>
      </w:r>
      <w:r w:rsidRPr="009C0C27">
        <w:rPr>
          <w:sz w:val="20"/>
          <w:szCs w:val="20"/>
          <w:shd w:val="clear" w:color="auto" w:fill="FFFFFF"/>
        </w:rPr>
        <w:t> San Francisco, CA: Jossey-Bass.</w:t>
      </w:r>
    </w:p>
    <w:p w:rsidR="009C0C27" w:rsidRPr="009C0C27" w:rsidRDefault="009C0C27" w:rsidP="00520D88">
      <w:pPr>
        <w:pStyle w:val="04420435043A04410442043F043E0434043B0438043D0438044F"/>
        <w:spacing w:after="23" w:line="276" w:lineRule="auto"/>
        <w:ind w:left="425" w:hanging="425"/>
        <w:rPr>
          <w:sz w:val="20"/>
          <w:szCs w:val="20"/>
        </w:rPr>
      </w:pPr>
      <w:r w:rsidRPr="009C0C27">
        <w:rPr>
          <w:sz w:val="20"/>
          <w:szCs w:val="20"/>
          <w:shd w:val="clear" w:color="auto" w:fill="FFFFFF"/>
        </w:rPr>
        <w:t>Massaro, D. W. (1992). Broadening the domain of the fuzzy logical model of perception. In H.L. Pick Jr., P. van den Broek, &amp; D. C. Knill (Eds.), </w:t>
      </w:r>
      <w:r w:rsidRPr="009C0C27">
        <w:rPr>
          <w:rStyle w:val="Emphasis"/>
          <w:sz w:val="20"/>
          <w:szCs w:val="20"/>
          <w:shd w:val="clear" w:color="auto" w:fill="FFFFFF"/>
        </w:rPr>
        <w:t>Cognition: Conceptual and methodological issues</w:t>
      </w:r>
      <w:r w:rsidRPr="009C0C27">
        <w:rPr>
          <w:sz w:val="20"/>
          <w:szCs w:val="20"/>
          <w:shd w:val="clear" w:color="auto" w:fill="FFFFFF"/>
        </w:rPr>
        <w:t> (pp.51-84). Washington, DC: American Psychological Association.</w:t>
      </w:r>
    </w:p>
    <w:p w:rsidR="00997883" w:rsidRDefault="00997883" w:rsidP="00520D88">
      <w:pPr>
        <w:autoSpaceDE w:val="0"/>
        <w:autoSpaceDN w:val="0"/>
        <w:adjustRightInd w:val="0"/>
        <w:ind w:left="426" w:hanging="426"/>
        <w:rPr>
          <w:color w:val="505050"/>
          <w:sz w:val="20"/>
          <w:szCs w:val="20"/>
          <w:shd w:val="clear" w:color="auto" w:fill="FFFFFF"/>
        </w:rPr>
      </w:pPr>
    </w:p>
    <w:p w:rsidR="00997883" w:rsidRPr="000B18E5" w:rsidRDefault="00997883" w:rsidP="00520D88">
      <w:pPr>
        <w:autoSpaceDE w:val="0"/>
        <w:autoSpaceDN w:val="0"/>
        <w:adjustRightInd w:val="0"/>
        <w:ind w:left="426" w:hanging="426"/>
        <w:rPr>
          <w:b/>
          <w:color w:val="505050"/>
          <w:sz w:val="20"/>
          <w:szCs w:val="20"/>
          <w:shd w:val="clear" w:color="auto" w:fill="FFFFFF"/>
          <w:lang w:val="bg-BG"/>
        </w:rPr>
      </w:pPr>
      <w:r w:rsidRPr="000B18E5">
        <w:rPr>
          <w:b/>
          <w:color w:val="505050"/>
          <w:sz w:val="20"/>
          <w:szCs w:val="20"/>
          <w:shd w:val="clear" w:color="auto" w:fill="FFFFFF"/>
          <w:lang w:val="bg-BG"/>
        </w:rPr>
        <w:t>От онлайн-източници:</w:t>
      </w:r>
    </w:p>
    <w:p w:rsidR="00997883" w:rsidRDefault="00997883" w:rsidP="00520D88">
      <w:pPr>
        <w:autoSpaceDE w:val="0"/>
        <w:autoSpaceDN w:val="0"/>
        <w:adjustRightInd w:val="0"/>
        <w:ind w:left="426" w:hanging="426"/>
        <w:rPr>
          <w:sz w:val="20"/>
          <w:szCs w:val="20"/>
          <w:shd w:val="clear" w:color="auto" w:fill="FFFFFF"/>
          <w:lang w:val="bg-BG"/>
        </w:rPr>
      </w:pPr>
      <w:r w:rsidRPr="00CA10A7">
        <w:rPr>
          <w:sz w:val="20"/>
          <w:szCs w:val="20"/>
          <w:shd w:val="clear" w:color="auto" w:fill="FFFFFF"/>
          <w:lang w:val="bg-BG"/>
        </w:rPr>
        <w:t>Автор,</w:t>
      </w:r>
      <w:r w:rsidR="000B18E5" w:rsidRPr="00CA10A7">
        <w:rPr>
          <w:sz w:val="20"/>
          <w:szCs w:val="20"/>
          <w:shd w:val="clear" w:color="auto" w:fill="FFFFFF"/>
          <w:lang w:val="bg-BG"/>
        </w:rPr>
        <w:t xml:space="preserve"> </w:t>
      </w:r>
      <w:r w:rsidR="009F7DC6" w:rsidRPr="00CA10A7">
        <w:rPr>
          <w:sz w:val="20"/>
          <w:szCs w:val="20"/>
          <w:shd w:val="clear" w:color="auto" w:fill="FFFFFF"/>
          <w:lang w:val="bg-BG"/>
        </w:rPr>
        <w:t>година на публикуване</w:t>
      </w:r>
      <w:r w:rsidR="009F7DC6">
        <w:rPr>
          <w:sz w:val="20"/>
          <w:szCs w:val="20"/>
          <w:shd w:val="clear" w:color="auto" w:fill="FFFFFF"/>
          <w:lang w:val="en-US"/>
        </w:rPr>
        <w:t>,</w:t>
      </w:r>
      <w:r w:rsidR="009F7DC6" w:rsidRPr="00CA10A7">
        <w:rPr>
          <w:sz w:val="20"/>
          <w:szCs w:val="20"/>
          <w:shd w:val="clear" w:color="auto" w:fill="FFFFFF"/>
          <w:lang w:val="bg-BG"/>
        </w:rPr>
        <w:t xml:space="preserve"> </w:t>
      </w:r>
      <w:r w:rsidR="000B18E5" w:rsidRPr="00CA10A7">
        <w:rPr>
          <w:sz w:val="20"/>
          <w:szCs w:val="20"/>
          <w:shd w:val="clear" w:color="auto" w:fill="FFFFFF"/>
          <w:lang w:val="bg-BG"/>
        </w:rPr>
        <w:t>заглавие на материала,</w:t>
      </w:r>
      <w:r w:rsidRPr="00CA10A7">
        <w:rPr>
          <w:sz w:val="20"/>
          <w:szCs w:val="20"/>
          <w:shd w:val="clear" w:color="auto" w:fill="FFFFFF"/>
          <w:lang w:val="bg-BG"/>
        </w:rPr>
        <w:t xml:space="preserve"> </w:t>
      </w:r>
      <w:r w:rsidR="000B18E5" w:rsidRPr="00CA10A7">
        <w:rPr>
          <w:sz w:val="20"/>
          <w:szCs w:val="20"/>
          <w:shd w:val="clear" w:color="auto" w:fill="FFFFFF"/>
          <w:lang w:val="bg-BG"/>
        </w:rPr>
        <w:t xml:space="preserve"> уеб-адрес, дата на ползване</w:t>
      </w:r>
    </w:p>
    <w:p w:rsidR="009C0C27" w:rsidRDefault="009C0C27" w:rsidP="00520D88">
      <w:pPr>
        <w:autoSpaceDE w:val="0"/>
        <w:autoSpaceDN w:val="0"/>
        <w:adjustRightInd w:val="0"/>
        <w:ind w:left="426" w:hanging="426"/>
        <w:rPr>
          <w:sz w:val="20"/>
          <w:szCs w:val="20"/>
          <w:shd w:val="clear" w:color="auto" w:fill="FFFFFF"/>
          <w:lang w:val="bg-BG"/>
        </w:rPr>
      </w:pPr>
    </w:p>
    <w:p w:rsidR="009C0C27" w:rsidRPr="009C0C27" w:rsidRDefault="009C0C27" w:rsidP="00520D88">
      <w:pPr>
        <w:autoSpaceDE w:val="0"/>
        <w:autoSpaceDN w:val="0"/>
        <w:adjustRightInd w:val="0"/>
        <w:ind w:left="426" w:hanging="426"/>
        <w:rPr>
          <w:sz w:val="20"/>
          <w:szCs w:val="20"/>
          <w:shd w:val="clear" w:color="auto" w:fill="FFFFFF"/>
          <w:lang w:val="bg-BG"/>
        </w:rPr>
      </w:pPr>
      <w:r w:rsidRPr="009C0C27">
        <w:rPr>
          <w:color w:val="000000"/>
          <w:sz w:val="20"/>
          <w:szCs w:val="20"/>
          <w:shd w:val="clear" w:color="auto" w:fill="FFFFFF"/>
        </w:rPr>
        <w:t>Arno, S. F., &amp; Allison-Bunnell, S. (2002). </w:t>
      </w:r>
      <w:r w:rsidRPr="009C0C27">
        <w:rPr>
          <w:rStyle w:val="Emphasis"/>
          <w:color w:val="000000"/>
          <w:sz w:val="20"/>
          <w:szCs w:val="20"/>
          <w:shd w:val="clear" w:color="auto" w:fill="FFFFFF"/>
        </w:rPr>
        <w:t>Flames in our forest: Disaster or renewal?</w:t>
      </w:r>
      <w:r w:rsidRPr="009C0C27">
        <w:rPr>
          <w:color w:val="000000"/>
          <w:sz w:val="20"/>
          <w:szCs w:val="20"/>
          <w:shd w:val="clear" w:color="auto" w:fill="FFFFFF"/>
        </w:rPr>
        <w:t> Retrieved from http://www.ebrary.com</w:t>
      </w:r>
    </w:p>
    <w:p w:rsidR="00997883" w:rsidRPr="00806E49" w:rsidRDefault="00997883" w:rsidP="00997883">
      <w:pPr>
        <w:pStyle w:val="BodyText2"/>
        <w:spacing w:after="23"/>
      </w:pPr>
    </w:p>
    <w:p w:rsidR="00E62B03" w:rsidRPr="004073F1" w:rsidRDefault="00E62B03" w:rsidP="0055653C">
      <w:pPr>
        <w:spacing w:after="23"/>
        <w:ind w:firstLine="652"/>
        <w:jc w:val="both"/>
        <w:rPr>
          <w:b/>
          <w:bCs/>
          <w:lang w:val="bg-BG"/>
        </w:rPr>
      </w:pPr>
      <w:r w:rsidRPr="004073F1">
        <w:rPr>
          <w:b/>
          <w:bCs/>
          <w:lang w:val="bg-BG"/>
        </w:rPr>
        <w:t xml:space="preserve"> Данни за автора:</w:t>
      </w:r>
    </w:p>
    <w:p w:rsidR="004073F1" w:rsidRDefault="004073F1" w:rsidP="0055653C">
      <w:pPr>
        <w:spacing w:after="23"/>
        <w:ind w:firstLine="652"/>
        <w:jc w:val="both"/>
        <w:rPr>
          <w:bCs/>
          <w:lang w:val="bg-BG"/>
        </w:rPr>
      </w:pPr>
    </w:p>
    <w:p w:rsidR="00E62B03" w:rsidRPr="004073F1" w:rsidRDefault="004073F1" w:rsidP="0055653C">
      <w:pPr>
        <w:spacing w:after="23" w:line="360" w:lineRule="auto"/>
        <w:ind w:firstLine="652"/>
        <w:jc w:val="both"/>
        <w:rPr>
          <w:bCs/>
          <w:lang w:val="bg-BG"/>
        </w:rPr>
      </w:pPr>
      <w:r w:rsidRPr="004073F1">
        <w:rPr>
          <w:bCs/>
          <w:lang w:val="bg-BG"/>
        </w:rPr>
        <w:t>Служебен адрес:</w:t>
      </w:r>
    </w:p>
    <w:p w:rsidR="004073F1" w:rsidRPr="004073F1" w:rsidRDefault="004073F1" w:rsidP="0055653C">
      <w:pPr>
        <w:spacing w:after="23" w:line="360" w:lineRule="auto"/>
        <w:ind w:firstLine="652"/>
        <w:jc w:val="both"/>
        <w:rPr>
          <w:bCs/>
          <w:lang w:val="bg-BG"/>
        </w:rPr>
      </w:pPr>
      <w:r w:rsidRPr="004073F1">
        <w:rPr>
          <w:bCs/>
          <w:lang w:val="bg-BG"/>
        </w:rPr>
        <w:t>Телефон:</w:t>
      </w:r>
    </w:p>
    <w:p w:rsidR="004C7A51" w:rsidRDefault="004073F1" w:rsidP="0055653C">
      <w:pPr>
        <w:spacing w:after="23" w:line="360" w:lineRule="auto"/>
        <w:ind w:firstLine="652"/>
        <w:jc w:val="both"/>
        <w:rPr>
          <w:rFonts w:ascii="Arial" w:hAnsi="Arial" w:cs="Arial"/>
          <w:lang w:val="bg-BG"/>
        </w:rPr>
      </w:pPr>
      <w:r w:rsidRPr="004073F1">
        <w:rPr>
          <w:bCs/>
          <w:lang w:val="bg-BG"/>
        </w:rPr>
        <w:t>Е-</w:t>
      </w:r>
      <w:r w:rsidRPr="004073F1">
        <w:rPr>
          <w:bCs/>
          <w:lang w:val="en-US"/>
        </w:rPr>
        <w:t>mail</w:t>
      </w:r>
      <w:r w:rsidRPr="004073F1">
        <w:rPr>
          <w:bCs/>
          <w:lang w:val="bg-BG"/>
        </w:rPr>
        <w:t>:</w:t>
      </w:r>
      <w:r w:rsidR="00E62B03" w:rsidRPr="00C709D6">
        <w:rPr>
          <w:rFonts w:ascii="Arial" w:hAnsi="Arial" w:cs="Arial"/>
          <w:lang w:val="bg-BG"/>
        </w:rPr>
        <w:t xml:space="preserve"> </w:t>
      </w:r>
    </w:p>
    <w:p w:rsidR="00FC0BF3" w:rsidRPr="00FC0BF3" w:rsidRDefault="00FC0BF3" w:rsidP="00FC0BF3">
      <w:pPr>
        <w:shd w:val="clear" w:color="auto" w:fill="FFFFFF"/>
        <w:outlineLvl w:val="0"/>
        <w:rPr>
          <w:b/>
          <w:bCs/>
          <w:color w:val="000000"/>
          <w:kern w:val="36"/>
          <w:lang w:val="en-US"/>
        </w:rPr>
      </w:pPr>
    </w:p>
    <w:p w:rsidR="00FC0BF3" w:rsidRPr="004073F1" w:rsidRDefault="00FC0BF3" w:rsidP="0055653C">
      <w:pPr>
        <w:spacing w:after="23" w:line="360" w:lineRule="auto"/>
        <w:ind w:firstLine="652"/>
        <w:jc w:val="both"/>
        <w:rPr>
          <w:lang w:val="bg-BG"/>
        </w:rPr>
      </w:pPr>
    </w:p>
    <w:sectPr w:rsidR="00FC0BF3" w:rsidRPr="004073F1" w:rsidSect="0055653C">
      <w:pgSz w:w="11907" w:h="16840" w:code="9"/>
      <w:pgMar w:top="1134" w:right="1134" w:bottom="1134" w:left="1134" w:header="3686" w:footer="1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E3" w:rsidRDefault="00AF52E3" w:rsidP="001D2A25">
      <w:r>
        <w:separator/>
      </w:r>
    </w:p>
  </w:endnote>
  <w:endnote w:type="continuationSeparator" w:id="0">
    <w:p w:rsidR="00AF52E3" w:rsidRDefault="00AF52E3" w:rsidP="001D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E3" w:rsidRDefault="00AF52E3" w:rsidP="001D2A25">
      <w:r>
        <w:separator/>
      </w:r>
    </w:p>
  </w:footnote>
  <w:footnote w:type="continuationSeparator" w:id="0">
    <w:p w:rsidR="00AF52E3" w:rsidRDefault="00AF52E3" w:rsidP="001D2A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0"/>
        <w:u w:val="none"/>
      </w:rPr>
    </w:lvl>
    <w:lvl w:ilvl="1">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2">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3">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4">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5">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6">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7">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8">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ADA7902"/>
    <w:multiLevelType w:val="hybridMultilevel"/>
    <w:tmpl w:val="04F4516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106346B7"/>
    <w:multiLevelType w:val="hybridMultilevel"/>
    <w:tmpl w:val="25327A14"/>
    <w:lvl w:ilvl="0" w:tplc="E8B06F4A">
      <w:start w:val="1"/>
      <w:numFmt w:val="decimal"/>
      <w:pStyle w:val="VSURef"/>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BA71EA8"/>
    <w:multiLevelType w:val="multilevel"/>
    <w:tmpl w:val="AD4262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BB32904"/>
    <w:multiLevelType w:val="hybridMultilevel"/>
    <w:tmpl w:val="04F4516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2D3C1783"/>
    <w:multiLevelType w:val="multilevel"/>
    <w:tmpl w:val="497C91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F9C7833"/>
    <w:multiLevelType w:val="multilevel"/>
    <w:tmpl w:val="32AA06F8"/>
    <w:lvl w:ilvl="0">
      <w:start w:val="1"/>
      <w:numFmt w:val="decimal"/>
      <w:lvlText w:val="%1."/>
      <w:lvlJc w:val="left"/>
      <w:pPr>
        <w:ind w:left="0" w:hanging="360"/>
      </w:pPr>
      <w:rPr>
        <w:rFonts w:ascii="Times New Roman" w:eastAsia="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2910894"/>
    <w:multiLevelType w:val="hybridMultilevel"/>
    <w:tmpl w:val="A498F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332D6"/>
    <w:multiLevelType w:val="hybridMultilevel"/>
    <w:tmpl w:val="73A4F660"/>
    <w:lvl w:ilvl="0" w:tplc="44AE5976">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1E916F8"/>
    <w:multiLevelType w:val="hybridMultilevel"/>
    <w:tmpl w:val="D82CD06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D924291"/>
    <w:multiLevelType w:val="multilevel"/>
    <w:tmpl w:val="12361A5E"/>
    <w:lvl w:ilvl="0">
      <w:start w:val="1"/>
      <w:numFmt w:val="decimal"/>
      <w:lvlText w:val="%1."/>
      <w:lvlJc w:val="left"/>
      <w:pPr>
        <w:ind w:left="360" w:hanging="360"/>
      </w:pPr>
    </w:lvl>
    <w:lvl w:ilvl="1">
      <w:start w:val="1"/>
      <w:numFmt w:val="decimal"/>
      <w:lvlText w:val="%1.%2."/>
      <w:lvlJc w:val="left"/>
      <w:pPr>
        <w:ind w:left="1012" w:hanging="360"/>
      </w:pPr>
    </w:lvl>
    <w:lvl w:ilvl="2">
      <w:start w:val="1"/>
      <w:numFmt w:val="decimal"/>
      <w:lvlText w:val="%1.%2.%3."/>
      <w:lvlJc w:val="left"/>
      <w:pPr>
        <w:ind w:left="2024" w:hanging="720"/>
      </w:pPr>
    </w:lvl>
    <w:lvl w:ilvl="3">
      <w:start w:val="1"/>
      <w:numFmt w:val="decimal"/>
      <w:lvlText w:val="%1.%2.%3.%4."/>
      <w:lvlJc w:val="left"/>
      <w:pPr>
        <w:ind w:left="2676" w:hanging="719"/>
      </w:pPr>
    </w:lvl>
    <w:lvl w:ilvl="4">
      <w:start w:val="1"/>
      <w:numFmt w:val="decimal"/>
      <w:lvlText w:val="%1.%2.%3.%4.%5."/>
      <w:lvlJc w:val="left"/>
      <w:pPr>
        <w:ind w:left="3688" w:hanging="1080"/>
      </w:pPr>
    </w:lvl>
    <w:lvl w:ilvl="5">
      <w:start w:val="1"/>
      <w:numFmt w:val="decimal"/>
      <w:lvlText w:val="%1.%2.%3.%4.%5.%6."/>
      <w:lvlJc w:val="left"/>
      <w:pPr>
        <w:ind w:left="4340" w:hanging="1080"/>
      </w:pPr>
    </w:lvl>
    <w:lvl w:ilvl="6">
      <w:start w:val="1"/>
      <w:numFmt w:val="decimal"/>
      <w:lvlText w:val="%1.%2.%3.%4.%5.%6.%7."/>
      <w:lvlJc w:val="left"/>
      <w:pPr>
        <w:ind w:left="4992" w:hanging="1080"/>
      </w:pPr>
    </w:lvl>
    <w:lvl w:ilvl="7">
      <w:start w:val="1"/>
      <w:numFmt w:val="decimal"/>
      <w:lvlText w:val="%1.%2.%3.%4.%5.%6.%7.%8."/>
      <w:lvlJc w:val="left"/>
      <w:pPr>
        <w:ind w:left="6004" w:hanging="1440"/>
      </w:pPr>
    </w:lvl>
    <w:lvl w:ilvl="8">
      <w:start w:val="1"/>
      <w:numFmt w:val="decimal"/>
      <w:lvlText w:val="%1.%2.%3.%4.%5.%6.%7.%8.%9."/>
      <w:lvlJc w:val="left"/>
      <w:pPr>
        <w:ind w:left="6656" w:hanging="1440"/>
      </w:pPr>
    </w:lvl>
  </w:abstractNum>
  <w:num w:numId="1">
    <w:abstractNumId w:val="2"/>
  </w:num>
  <w:num w:numId="2">
    <w:abstractNumId w:val="0"/>
  </w:num>
  <w:num w:numId="3">
    <w:abstractNumId w:val="9"/>
  </w:num>
  <w:num w:numId="4">
    <w:abstractNumId w:val="1"/>
  </w:num>
  <w:num w:numId="5">
    <w:abstractNumId w:val="4"/>
  </w:num>
  <w:num w:numId="6">
    <w:abstractNumId w:val="7"/>
  </w:num>
  <w:num w:numId="7">
    <w:abstractNumId w:val="8"/>
  </w:num>
  <w:num w:numId="8">
    <w:abstractNumId w:val="6"/>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25"/>
    <w:rsid w:val="00035F1E"/>
    <w:rsid w:val="00063C08"/>
    <w:rsid w:val="00085564"/>
    <w:rsid w:val="0009177D"/>
    <w:rsid w:val="000A0B06"/>
    <w:rsid w:val="000B18E5"/>
    <w:rsid w:val="000D4AE5"/>
    <w:rsid w:val="000F7E72"/>
    <w:rsid w:val="00144805"/>
    <w:rsid w:val="00153515"/>
    <w:rsid w:val="0015756E"/>
    <w:rsid w:val="001C0BFE"/>
    <w:rsid w:val="001C165B"/>
    <w:rsid w:val="001D2A25"/>
    <w:rsid w:val="001E3B6A"/>
    <w:rsid w:val="001F0C52"/>
    <w:rsid w:val="002251CA"/>
    <w:rsid w:val="00277B35"/>
    <w:rsid w:val="00280AB3"/>
    <w:rsid w:val="00297765"/>
    <w:rsid w:val="002E0280"/>
    <w:rsid w:val="002E303F"/>
    <w:rsid w:val="0032470F"/>
    <w:rsid w:val="003471CA"/>
    <w:rsid w:val="00365B5B"/>
    <w:rsid w:val="00370658"/>
    <w:rsid w:val="0038235B"/>
    <w:rsid w:val="003A5653"/>
    <w:rsid w:val="004073F1"/>
    <w:rsid w:val="00463EAD"/>
    <w:rsid w:val="004641E2"/>
    <w:rsid w:val="004A4A91"/>
    <w:rsid w:val="004C381C"/>
    <w:rsid w:val="004C7A51"/>
    <w:rsid w:val="00520D88"/>
    <w:rsid w:val="0055653C"/>
    <w:rsid w:val="00564DB3"/>
    <w:rsid w:val="005D3510"/>
    <w:rsid w:val="00604918"/>
    <w:rsid w:val="006144F5"/>
    <w:rsid w:val="00652713"/>
    <w:rsid w:val="006653AF"/>
    <w:rsid w:val="006B69B6"/>
    <w:rsid w:val="006C57A2"/>
    <w:rsid w:val="007133CE"/>
    <w:rsid w:val="00784A1A"/>
    <w:rsid w:val="00790DB6"/>
    <w:rsid w:val="00792BAA"/>
    <w:rsid w:val="007B257C"/>
    <w:rsid w:val="008046DC"/>
    <w:rsid w:val="00806E49"/>
    <w:rsid w:val="00847015"/>
    <w:rsid w:val="008667D9"/>
    <w:rsid w:val="00866BF0"/>
    <w:rsid w:val="00880BAB"/>
    <w:rsid w:val="008A7177"/>
    <w:rsid w:val="008C1AD7"/>
    <w:rsid w:val="008D0DA3"/>
    <w:rsid w:val="008E1B93"/>
    <w:rsid w:val="008F29E4"/>
    <w:rsid w:val="008F56E2"/>
    <w:rsid w:val="00915F5A"/>
    <w:rsid w:val="00941E9A"/>
    <w:rsid w:val="00981BAB"/>
    <w:rsid w:val="00997883"/>
    <w:rsid w:val="009B2796"/>
    <w:rsid w:val="009B52F7"/>
    <w:rsid w:val="009C0977"/>
    <w:rsid w:val="009C0C27"/>
    <w:rsid w:val="009D4E25"/>
    <w:rsid w:val="009F7DC6"/>
    <w:rsid w:val="00A053D1"/>
    <w:rsid w:val="00A1681F"/>
    <w:rsid w:val="00A737D2"/>
    <w:rsid w:val="00A84D67"/>
    <w:rsid w:val="00AD1B9E"/>
    <w:rsid w:val="00AF52E3"/>
    <w:rsid w:val="00AF5D16"/>
    <w:rsid w:val="00B201B2"/>
    <w:rsid w:val="00B24ADD"/>
    <w:rsid w:val="00B608C3"/>
    <w:rsid w:val="00B74ED7"/>
    <w:rsid w:val="00B776CD"/>
    <w:rsid w:val="00B90D93"/>
    <w:rsid w:val="00BB7CD0"/>
    <w:rsid w:val="00BC1458"/>
    <w:rsid w:val="00C01B54"/>
    <w:rsid w:val="00C416A9"/>
    <w:rsid w:val="00C43BC4"/>
    <w:rsid w:val="00C93502"/>
    <w:rsid w:val="00CA10A7"/>
    <w:rsid w:val="00CD70E8"/>
    <w:rsid w:val="00D068F5"/>
    <w:rsid w:val="00D533F3"/>
    <w:rsid w:val="00D67386"/>
    <w:rsid w:val="00D83386"/>
    <w:rsid w:val="00D86E6C"/>
    <w:rsid w:val="00D908A3"/>
    <w:rsid w:val="00DB0A4A"/>
    <w:rsid w:val="00DE3A6B"/>
    <w:rsid w:val="00DF0936"/>
    <w:rsid w:val="00DF0C13"/>
    <w:rsid w:val="00E51E0E"/>
    <w:rsid w:val="00E55F01"/>
    <w:rsid w:val="00E62B03"/>
    <w:rsid w:val="00EF649F"/>
    <w:rsid w:val="00F01AE2"/>
    <w:rsid w:val="00F16028"/>
    <w:rsid w:val="00F5730F"/>
    <w:rsid w:val="00F820B0"/>
    <w:rsid w:val="00FC0BF3"/>
    <w:rsid w:val="00FC34BA"/>
    <w:rsid w:val="00FE25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E4E0B"/>
  <w15:docId w15:val="{2B9C5F4B-B542-4165-8409-001D61C7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25"/>
    <w:rPr>
      <w:rFonts w:ascii="Times New Roman" w:eastAsia="Times New Roman" w:hAnsi="Times New Roman"/>
      <w:sz w:val="24"/>
      <w:szCs w:val="24"/>
      <w:lang w:val="en-GB"/>
    </w:rPr>
  </w:style>
  <w:style w:type="paragraph" w:styleId="Heading1">
    <w:name w:val="heading 1"/>
    <w:basedOn w:val="Normal"/>
    <w:link w:val="Heading1Char"/>
    <w:uiPriority w:val="9"/>
    <w:qFormat/>
    <w:rsid w:val="00FC0BF3"/>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2A25"/>
    <w:pPr>
      <w:tabs>
        <w:tab w:val="center" w:pos="4536"/>
        <w:tab w:val="right" w:pos="9072"/>
      </w:tabs>
    </w:pPr>
  </w:style>
  <w:style w:type="character" w:customStyle="1" w:styleId="HeaderChar">
    <w:name w:val="Header Char"/>
    <w:link w:val="Header"/>
    <w:rsid w:val="001D2A25"/>
    <w:rPr>
      <w:rFonts w:ascii="Times New Roman" w:eastAsia="Times New Roman" w:hAnsi="Times New Roman" w:cs="Times New Roman"/>
      <w:sz w:val="24"/>
      <w:szCs w:val="24"/>
      <w:lang w:val="en-GB"/>
    </w:rPr>
  </w:style>
  <w:style w:type="paragraph" w:customStyle="1" w:styleId="VSURef">
    <w:name w:val="VSU Ref"/>
    <w:basedOn w:val="ListParagraph"/>
    <w:rsid w:val="001D2A25"/>
    <w:pPr>
      <w:numPr>
        <w:numId w:val="1"/>
      </w:numPr>
      <w:tabs>
        <w:tab w:val="num" w:pos="360"/>
      </w:tabs>
      <w:ind w:left="426" w:firstLine="0"/>
      <w:contextualSpacing w:val="0"/>
    </w:pPr>
    <w:rPr>
      <w:lang w:val="bg-BG" w:eastAsia="bg-BG"/>
    </w:rPr>
  </w:style>
  <w:style w:type="paragraph" w:customStyle="1" w:styleId="VSUTitle">
    <w:name w:val="VSU Title"/>
    <w:basedOn w:val="Normal"/>
    <w:rsid w:val="001D2A25"/>
    <w:pPr>
      <w:ind w:left="567"/>
      <w:outlineLvl w:val="0"/>
    </w:pPr>
    <w:rPr>
      <w:rFonts w:cs="Arial"/>
      <w:b/>
      <w:bCs/>
      <w:caps/>
      <w:kern w:val="28"/>
      <w:szCs w:val="32"/>
      <w:lang w:val="en-US"/>
    </w:rPr>
  </w:style>
  <w:style w:type="paragraph" w:customStyle="1" w:styleId="VSUAuthors">
    <w:name w:val="VSU Authors"/>
    <w:basedOn w:val="Normal"/>
    <w:autoRedefine/>
    <w:rsid w:val="00FE256D"/>
    <w:pPr>
      <w:jc w:val="center"/>
    </w:pPr>
    <w:rPr>
      <w:b/>
      <w:szCs w:val="20"/>
      <w:lang w:val="en-US" w:eastAsia="de-DE"/>
    </w:rPr>
  </w:style>
  <w:style w:type="paragraph" w:customStyle="1" w:styleId="VSUAddresses">
    <w:name w:val="VSU Addresses"/>
    <w:basedOn w:val="Normal"/>
    <w:rsid w:val="001D2A25"/>
    <w:pPr>
      <w:autoSpaceDE w:val="0"/>
      <w:autoSpaceDN w:val="0"/>
      <w:adjustRightInd w:val="0"/>
    </w:pPr>
    <w:rPr>
      <w:sz w:val="20"/>
    </w:rPr>
  </w:style>
  <w:style w:type="paragraph" w:customStyle="1" w:styleId="VSUHeadings">
    <w:name w:val="VSU Headings"/>
    <w:basedOn w:val="Normal"/>
    <w:rsid w:val="001D2A25"/>
    <w:pPr>
      <w:ind w:firstLine="567"/>
    </w:pPr>
    <w:rPr>
      <w:rFonts w:cs="Courier New"/>
      <w:b/>
      <w:szCs w:val="20"/>
      <w:lang w:val="en-US"/>
    </w:rPr>
  </w:style>
  <w:style w:type="paragraph" w:styleId="Footer">
    <w:name w:val="footer"/>
    <w:basedOn w:val="Normal"/>
    <w:link w:val="FooterChar"/>
    <w:rsid w:val="001D2A25"/>
    <w:pPr>
      <w:tabs>
        <w:tab w:val="center" w:pos="4536"/>
        <w:tab w:val="right" w:pos="9072"/>
      </w:tabs>
    </w:pPr>
  </w:style>
  <w:style w:type="character" w:customStyle="1" w:styleId="FooterChar">
    <w:name w:val="Footer Char"/>
    <w:link w:val="Footer"/>
    <w:rsid w:val="001D2A25"/>
    <w:rPr>
      <w:rFonts w:ascii="Times New Roman" w:eastAsia="Times New Roman" w:hAnsi="Times New Roman" w:cs="Times New Roman"/>
      <w:sz w:val="24"/>
      <w:szCs w:val="24"/>
      <w:lang w:val="en-GB"/>
    </w:rPr>
  </w:style>
  <w:style w:type="paragraph" w:customStyle="1" w:styleId="VSUMain">
    <w:name w:val="VSU Main"/>
    <w:basedOn w:val="Normal"/>
    <w:rsid w:val="001D2A25"/>
    <w:pPr>
      <w:ind w:firstLine="567"/>
      <w:jc w:val="both"/>
    </w:pPr>
  </w:style>
  <w:style w:type="paragraph" w:customStyle="1" w:styleId="VSUEqu">
    <w:name w:val="VSU Equ"/>
    <w:basedOn w:val="ListParagraph"/>
    <w:rsid w:val="001D2A25"/>
    <w:pPr>
      <w:ind w:left="0"/>
      <w:jc w:val="both"/>
    </w:pPr>
    <w:rPr>
      <w:szCs w:val="20"/>
      <w:lang w:val="bg-BG" w:eastAsia="bg-BG"/>
    </w:rPr>
  </w:style>
  <w:style w:type="paragraph" w:customStyle="1" w:styleId="VSUFig">
    <w:name w:val="VSU Fig"/>
    <w:basedOn w:val="Normal"/>
    <w:rsid w:val="001D2A25"/>
    <w:pPr>
      <w:jc w:val="center"/>
    </w:pPr>
    <w:rPr>
      <w:rFonts w:cs="Courier New"/>
      <w:szCs w:val="20"/>
    </w:rPr>
  </w:style>
  <w:style w:type="paragraph" w:customStyle="1" w:styleId="VSUInstitution">
    <w:name w:val="VSU Institution"/>
    <w:basedOn w:val="Normal"/>
    <w:qFormat/>
    <w:rsid w:val="001D2A25"/>
    <w:pPr>
      <w:ind w:left="567"/>
    </w:pPr>
    <w:rPr>
      <w:i/>
      <w:color w:val="000000"/>
      <w:lang w:val="en-US"/>
    </w:rPr>
  </w:style>
  <w:style w:type="character" w:styleId="FootnoteReference">
    <w:name w:val="footnote reference"/>
    <w:rsid w:val="001D2A25"/>
    <w:rPr>
      <w:vertAlign w:val="superscript"/>
    </w:rPr>
  </w:style>
  <w:style w:type="character" w:customStyle="1" w:styleId="hps">
    <w:name w:val="hps"/>
    <w:basedOn w:val="DefaultParagraphFont"/>
    <w:rsid w:val="001D2A25"/>
  </w:style>
  <w:style w:type="paragraph" w:customStyle="1" w:styleId="VSUAbstract">
    <w:name w:val="VSU Abstract"/>
    <w:basedOn w:val="VSUMain"/>
    <w:rsid w:val="001D2A25"/>
    <w:pPr>
      <w:ind w:left="567" w:firstLine="0"/>
    </w:pPr>
    <w:rPr>
      <w:szCs w:val="20"/>
    </w:rPr>
  </w:style>
  <w:style w:type="paragraph" w:styleId="ListParagraph">
    <w:name w:val="List Paragraph"/>
    <w:basedOn w:val="Normal"/>
    <w:uiPriority w:val="34"/>
    <w:qFormat/>
    <w:rsid w:val="001D2A25"/>
    <w:pPr>
      <w:ind w:left="720"/>
      <w:contextualSpacing/>
    </w:pPr>
  </w:style>
  <w:style w:type="character" w:customStyle="1" w:styleId="32">
    <w:name w:val="Заглавие #3 (2)"/>
    <w:uiPriority w:val="99"/>
    <w:rsid w:val="00BC1458"/>
    <w:rPr>
      <w:rFonts w:ascii="Arial" w:hAnsi="Arial" w:cs="Arial"/>
      <w:b/>
      <w:bCs/>
      <w:spacing w:val="-10"/>
      <w:sz w:val="27"/>
      <w:szCs w:val="27"/>
    </w:rPr>
  </w:style>
  <w:style w:type="character" w:customStyle="1" w:styleId="a">
    <w:name w:val="Основен текст_"/>
    <w:link w:val="1"/>
    <w:uiPriority w:val="99"/>
    <w:locked/>
    <w:rsid w:val="002E0280"/>
    <w:rPr>
      <w:rFonts w:ascii="Arial" w:hAnsi="Arial" w:cs="Arial"/>
      <w:sz w:val="20"/>
      <w:szCs w:val="20"/>
      <w:shd w:val="clear" w:color="auto" w:fill="FFFFFF"/>
    </w:rPr>
  </w:style>
  <w:style w:type="character" w:customStyle="1" w:styleId="2">
    <w:name w:val="Основен текст (2) + Не е удебелен"/>
    <w:uiPriority w:val="99"/>
    <w:rsid w:val="002E0280"/>
    <w:rPr>
      <w:rFonts w:ascii="Arial" w:hAnsi="Arial" w:cs="Arial"/>
      <w:b w:val="0"/>
      <w:bCs w:val="0"/>
      <w:spacing w:val="0"/>
      <w:sz w:val="20"/>
      <w:szCs w:val="20"/>
    </w:rPr>
  </w:style>
  <w:style w:type="paragraph" w:customStyle="1" w:styleId="1">
    <w:name w:val="Основен текст1"/>
    <w:basedOn w:val="Normal"/>
    <w:link w:val="a"/>
    <w:uiPriority w:val="99"/>
    <w:rsid w:val="002E0280"/>
    <w:pPr>
      <w:shd w:val="clear" w:color="auto" w:fill="FFFFFF"/>
      <w:spacing w:before="180" w:line="267" w:lineRule="exact"/>
      <w:jc w:val="both"/>
    </w:pPr>
    <w:rPr>
      <w:rFonts w:ascii="Arial" w:eastAsia="Calibri" w:hAnsi="Arial" w:cs="Arial"/>
      <w:sz w:val="20"/>
      <w:szCs w:val="20"/>
      <w:lang w:val="bg-BG"/>
    </w:rPr>
  </w:style>
  <w:style w:type="character" w:styleId="Hyperlink">
    <w:name w:val="Hyperlink"/>
    <w:uiPriority w:val="99"/>
    <w:rsid w:val="002E0280"/>
    <w:rPr>
      <w:rFonts w:cs="Times New Roman"/>
      <w:color w:val="0066CC"/>
      <w:u w:val="single"/>
    </w:rPr>
  </w:style>
  <w:style w:type="paragraph" w:styleId="BalloonText">
    <w:name w:val="Balloon Text"/>
    <w:basedOn w:val="Normal"/>
    <w:link w:val="BalloonTextChar"/>
    <w:uiPriority w:val="99"/>
    <w:semiHidden/>
    <w:unhideWhenUsed/>
    <w:rsid w:val="00AD1B9E"/>
    <w:rPr>
      <w:rFonts w:ascii="Tahoma" w:hAnsi="Tahoma"/>
      <w:sz w:val="16"/>
      <w:szCs w:val="16"/>
    </w:rPr>
  </w:style>
  <w:style w:type="character" w:customStyle="1" w:styleId="BalloonTextChar">
    <w:name w:val="Balloon Text Char"/>
    <w:link w:val="BalloonText"/>
    <w:uiPriority w:val="99"/>
    <w:semiHidden/>
    <w:rsid w:val="00AD1B9E"/>
    <w:rPr>
      <w:rFonts w:ascii="Tahoma" w:eastAsia="Times New Roman" w:hAnsi="Tahoma" w:cs="Times New Roman"/>
      <w:sz w:val="16"/>
      <w:szCs w:val="16"/>
      <w:lang w:val="en-GB"/>
    </w:rPr>
  </w:style>
  <w:style w:type="paragraph" w:styleId="NormalWeb">
    <w:name w:val="Normal (Web)"/>
    <w:basedOn w:val="Normal"/>
    <w:uiPriority w:val="99"/>
    <w:rsid w:val="008C1AD7"/>
    <w:pPr>
      <w:spacing w:before="100" w:beforeAutospacing="1" w:after="100" w:afterAutospacing="1"/>
    </w:pPr>
    <w:rPr>
      <w:rFonts w:eastAsia="Calibri"/>
      <w:lang w:val="bg-BG" w:eastAsia="bg-BG"/>
    </w:rPr>
  </w:style>
  <w:style w:type="character" w:customStyle="1" w:styleId="apple-converted-space">
    <w:name w:val="apple-converted-space"/>
    <w:rsid w:val="008C1AD7"/>
  </w:style>
  <w:style w:type="paragraph" w:styleId="BodyText2">
    <w:name w:val="Body Text 2"/>
    <w:basedOn w:val="Normal"/>
    <w:link w:val="BodyText2Char"/>
    <w:uiPriority w:val="99"/>
    <w:rsid w:val="00806E49"/>
    <w:pPr>
      <w:autoSpaceDE w:val="0"/>
      <w:autoSpaceDN w:val="0"/>
      <w:ind w:left="284" w:hanging="284"/>
      <w:jc w:val="both"/>
    </w:pPr>
    <w:rPr>
      <w:sz w:val="20"/>
      <w:szCs w:val="20"/>
      <w:lang w:val="en-US"/>
    </w:rPr>
  </w:style>
  <w:style w:type="character" w:customStyle="1" w:styleId="BodyText2Char">
    <w:name w:val="Body Text 2 Char"/>
    <w:link w:val="BodyText2"/>
    <w:uiPriority w:val="99"/>
    <w:rsid w:val="00806E49"/>
    <w:rPr>
      <w:rFonts w:ascii="Times New Roman" w:eastAsia="Times New Roman" w:hAnsi="Times New Roman"/>
    </w:rPr>
  </w:style>
  <w:style w:type="paragraph" w:styleId="NoSpacing">
    <w:name w:val="No Spacing"/>
    <w:link w:val="NoSpacingChar"/>
    <w:uiPriority w:val="1"/>
    <w:qFormat/>
    <w:rsid w:val="00806E49"/>
    <w:pPr>
      <w:jc w:val="both"/>
    </w:pPr>
    <w:rPr>
      <w:rFonts w:ascii="Times New Roman" w:hAnsi="Times New Roman"/>
      <w:sz w:val="24"/>
      <w:szCs w:val="22"/>
      <w:lang w:val="bg-BG"/>
    </w:rPr>
  </w:style>
  <w:style w:type="character" w:customStyle="1" w:styleId="NoSpacingChar">
    <w:name w:val="No Spacing Char"/>
    <w:link w:val="NoSpacing"/>
    <w:uiPriority w:val="1"/>
    <w:rsid w:val="00806E49"/>
    <w:rPr>
      <w:rFonts w:ascii="Times New Roman" w:hAnsi="Times New Roman"/>
      <w:sz w:val="24"/>
      <w:szCs w:val="22"/>
      <w:lang w:val="bg-BG"/>
    </w:rPr>
  </w:style>
  <w:style w:type="paragraph" w:customStyle="1" w:styleId="04420435043A04410442043F043E0434043B0438043D0438044F0430043D0433043B">
    <w:name w:val="&lt;0442&gt;&lt;0435&gt;&lt;043A&gt;&lt;0441&gt;&lt;0442&gt; &lt;043F&gt;&lt;043E&gt;&lt;0434&gt; &lt;043B&gt;&lt;0438&gt;&lt;043D&gt;&lt;0438&gt;&lt;044F&gt; &lt;0430&gt;&lt;043D&gt;&lt;0433&gt;&lt;043B&gt;."/>
    <w:basedOn w:val="Normal"/>
    <w:uiPriority w:val="99"/>
    <w:rsid w:val="00806E49"/>
    <w:pPr>
      <w:widowControl w:val="0"/>
      <w:autoSpaceDE w:val="0"/>
      <w:autoSpaceDN w:val="0"/>
      <w:adjustRightInd w:val="0"/>
      <w:spacing w:line="288" w:lineRule="auto"/>
      <w:ind w:left="283" w:hanging="283"/>
      <w:jc w:val="both"/>
      <w:textAlignment w:val="center"/>
    </w:pPr>
    <w:rPr>
      <w:color w:val="000000"/>
      <w:sz w:val="19"/>
      <w:szCs w:val="19"/>
      <w:lang w:val="en-US" w:eastAsia="bg-BG"/>
    </w:rPr>
  </w:style>
  <w:style w:type="character" w:customStyle="1" w:styleId="a-size-large1">
    <w:name w:val="a-size-large1"/>
    <w:rsid w:val="00806E49"/>
    <w:rPr>
      <w:rFonts w:ascii="Arial" w:hAnsi="Arial" w:cs="Arial" w:hint="default"/>
    </w:rPr>
  </w:style>
  <w:style w:type="paragraph" w:customStyle="1" w:styleId="04420435043A04410442043F043E0434043B0438043D0438044F">
    <w:name w:val="&lt;0442&gt;&lt;0435&gt;&lt;043A&gt;&lt;0441&gt;&lt;0442&gt; &lt;043F&gt;&lt;043E&gt;&lt;0434&gt; &lt;043B&gt;&lt;0438&gt;&lt;043D&gt;&lt;0438&gt;&lt;044F&gt;"/>
    <w:basedOn w:val="Normal"/>
    <w:uiPriority w:val="99"/>
    <w:rsid w:val="00806E49"/>
    <w:pPr>
      <w:widowControl w:val="0"/>
      <w:autoSpaceDE w:val="0"/>
      <w:autoSpaceDN w:val="0"/>
      <w:adjustRightInd w:val="0"/>
      <w:spacing w:line="288" w:lineRule="auto"/>
      <w:ind w:left="283" w:hanging="283"/>
      <w:jc w:val="both"/>
      <w:textAlignment w:val="center"/>
    </w:pPr>
    <w:rPr>
      <w:color w:val="000000"/>
      <w:sz w:val="19"/>
      <w:szCs w:val="19"/>
      <w:lang w:val="bg-BG" w:eastAsia="bg-BG"/>
    </w:rPr>
  </w:style>
  <w:style w:type="character" w:customStyle="1" w:styleId="Heading1Char">
    <w:name w:val="Heading 1 Char"/>
    <w:link w:val="Heading1"/>
    <w:uiPriority w:val="9"/>
    <w:rsid w:val="00FC0BF3"/>
    <w:rPr>
      <w:rFonts w:ascii="Times New Roman" w:eastAsia="Times New Roman" w:hAnsi="Times New Roman"/>
      <w:b/>
      <w:bCs/>
      <w:kern w:val="36"/>
      <w:sz w:val="48"/>
      <w:szCs w:val="48"/>
    </w:rPr>
  </w:style>
  <w:style w:type="character" w:styleId="Emphasis">
    <w:name w:val="Emphasis"/>
    <w:uiPriority w:val="20"/>
    <w:qFormat/>
    <w:rsid w:val="00997883"/>
    <w:rPr>
      <w:i/>
      <w:iCs/>
    </w:rPr>
  </w:style>
  <w:style w:type="character" w:styleId="FollowedHyperlink">
    <w:name w:val="FollowedHyperlink"/>
    <w:basedOn w:val="DefaultParagraphFont"/>
    <w:uiPriority w:val="99"/>
    <w:semiHidden/>
    <w:unhideWhenUsed/>
    <w:rsid w:val="00A16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574992">
      <w:bodyDiv w:val="1"/>
      <w:marLeft w:val="0"/>
      <w:marRight w:val="0"/>
      <w:marTop w:val="0"/>
      <w:marBottom w:val="0"/>
      <w:divBdr>
        <w:top w:val="none" w:sz="0" w:space="0" w:color="auto"/>
        <w:left w:val="none" w:sz="0" w:space="0" w:color="auto"/>
        <w:bottom w:val="none" w:sz="0" w:space="0" w:color="auto"/>
        <w:right w:val="none" w:sz="0" w:space="0" w:color="auto"/>
      </w:divBdr>
    </w:div>
    <w:div w:id="17316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guides/apa-cit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519F-72E0-4FBB-9117-E6F342E8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4671</CharactersWithSpaces>
  <SharedDoc>false</SharedDoc>
  <HLinks>
    <vt:vector size="18" baseType="variant">
      <vt:variant>
        <vt:i4>3735675</vt:i4>
      </vt:variant>
      <vt:variant>
        <vt:i4>6</vt:i4>
      </vt:variant>
      <vt:variant>
        <vt:i4>0</vt:i4>
      </vt:variant>
      <vt:variant>
        <vt:i4>5</vt:i4>
      </vt:variant>
      <vt:variant>
        <vt:lpwstr>https://www.mendeley.com/reference-management/reference-manager</vt:lpwstr>
      </vt:variant>
      <vt:variant>
        <vt:lpwstr/>
      </vt:variant>
      <vt:variant>
        <vt:i4>3080319</vt:i4>
      </vt:variant>
      <vt:variant>
        <vt:i4>3</vt:i4>
      </vt:variant>
      <vt:variant>
        <vt:i4>0</vt:i4>
      </vt:variant>
      <vt:variant>
        <vt:i4>5</vt:i4>
      </vt:variant>
      <vt:variant>
        <vt:lpwstr>https://www.mendeley.com/guides/apa-citation-guide</vt:lpwstr>
      </vt:variant>
      <vt:variant>
        <vt:lpwstr/>
      </vt:variant>
      <vt:variant>
        <vt:i4>2621498</vt:i4>
      </vt:variant>
      <vt:variant>
        <vt:i4>0</vt:i4>
      </vt:variant>
      <vt:variant>
        <vt:i4>0</vt:i4>
      </vt:variant>
      <vt:variant>
        <vt:i4>5</vt:i4>
      </vt:variant>
      <vt:variant>
        <vt:lpwstr>https://roundtable.mu-varna.bg/bg/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Kostadin Bashev</dc:creator>
  <cp:lastModifiedBy>Teya</cp:lastModifiedBy>
  <cp:revision>2</cp:revision>
  <dcterms:created xsi:type="dcterms:W3CDTF">2020-05-22T08:25:00Z</dcterms:created>
  <dcterms:modified xsi:type="dcterms:W3CDTF">2020-05-22T08:25:00Z</dcterms:modified>
</cp:coreProperties>
</file>